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CellSpacing w:w="0" w:type="dxa"/>
        <w:tblLayout w:type="autofit"/>
        <w:tblCellMar>
          <w:top w:w="0" w:type="dxa"/>
          <w:left w:w="0" w:type="dxa"/>
          <w:bottom w:w="0" w:type="dxa"/>
          <w:right w:w="0" w:type="dxa"/>
        </w:tblCellMar>
      </w:tblPr>
      <w:tblGrid>
        <w:gridCol w:w="8306"/>
      </w:tblGrid>
      <w:tr>
        <w:trPr>
          <w:tblCellSpacing w:w="0" w:type="dxa"/>
          <w:jc w:val="center"/>
        </w:trPr>
        <w:tc>
          <w:tcPr>
            <w:tcW w:w="0" w:type="auto"/>
            <w:vAlign w:val="center"/>
          </w:tcPr>
          <w:p>
            <w:pPr>
              <w:widowControl/>
              <w:jc w:val="center"/>
              <w:rPr>
                <w:rFonts w:hint="default" w:ascii="宋体" w:hAnsi="宋体" w:eastAsia="宋体" w:cs="宋体"/>
                <w:b/>
                <w:bCs/>
                <w:color w:val="666666"/>
                <w:kern w:val="0"/>
                <w:sz w:val="21"/>
                <w:szCs w:val="21"/>
                <w:lang w:val="en-US" w:eastAsia="zh-CN"/>
              </w:rPr>
            </w:pPr>
            <w:r>
              <w:rPr>
                <w:rFonts w:hint="eastAsia" w:ascii="宋体" w:hAnsi="宋体" w:eastAsia="宋体" w:cs="宋体"/>
                <w:b/>
                <w:bCs/>
                <w:color w:val="666666"/>
                <w:kern w:val="0"/>
                <w:sz w:val="21"/>
                <w:szCs w:val="21"/>
                <w:lang w:val="en-US" w:eastAsia="zh-CN"/>
              </w:rPr>
              <w:t>第16届山东省职业院校技能大赛“化工生产技术”赛项（中职组）理论赛题</w:t>
            </w:r>
          </w:p>
          <w:tbl>
            <w:tblPr>
              <w:tblStyle w:val="3"/>
              <w:tblW w:w="5000" w:type="pct"/>
              <w:tblCellSpacing w:w="0" w:type="dxa"/>
              <w:tblInd w:w="0" w:type="dxa"/>
              <w:tblLayout w:type="autofit"/>
              <w:tblCellMar>
                <w:top w:w="45" w:type="dxa"/>
                <w:left w:w="45" w:type="dxa"/>
                <w:bottom w:w="45" w:type="dxa"/>
                <w:right w:w="45" w:type="dxa"/>
              </w:tblCellMar>
            </w:tblPr>
            <w:tblGrid>
              <w:gridCol w:w="8306"/>
            </w:tblGrid>
            <w:tr>
              <w:tblPrEx>
                <w:tblCellMar>
                  <w:top w:w="45" w:type="dxa"/>
                  <w:left w:w="45" w:type="dxa"/>
                  <w:bottom w:w="45" w:type="dxa"/>
                  <w:right w:w="45" w:type="dxa"/>
                </w:tblCellMar>
              </w:tblPrEx>
              <w:trPr>
                <w:tblCellSpacing w:w="0" w:type="dxa"/>
              </w:trPr>
              <w:tc>
                <w:tcPr>
                  <w:tcW w:w="0" w:type="auto"/>
                  <w:vAlign w:val="center"/>
                </w:tcPr>
                <w:p>
                  <w:pPr>
                    <w:widowControl/>
                    <w:jc w:val="left"/>
                    <w:rPr>
                      <w:rFonts w:ascii="宋体" w:hAnsi="宋体" w:eastAsia="宋体" w:cs="宋体"/>
                      <w:color w:val="666666"/>
                      <w:kern w:val="0"/>
                      <w:sz w:val="18"/>
                      <w:szCs w:val="18"/>
                    </w:rPr>
                  </w:pPr>
                  <w:r>
                    <w:rPr>
                      <w:rFonts w:hint="eastAsia" w:ascii="宋体" w:hAnsi="宋体" w:eastAsia="宋体" w:cs="宋体"/>
                      <w:b/>
                      <w:bCs/>
                      <w:color w:val="666666"/>
                      <w:kern w:val="0"/>
                      <w:sz w:val="18"/>
                      <w:szCs w:val="18"/>
                    </w:rPr>
                    <w:t>一、单选题（共80道题，每题0.8分）</w:t>
                  </w:r>
                </w:p>
              </w:tc>
            </w:tr>
            <w:tr>
              <w:tblPrEx>
                <w:tblCellMar>
                  <w:top w:w="45" w:type="dxa"/>
                  <w:left w:w="45" w:type="dxa"/>
                  <w:bottom w:w="45" w:type="dxa"/>
                  <w:right w:w="45" w:type="dxa"/>
                </w:tblCellMar>
              </w:tblPrEx>
              <w:trPr>
                <w:tblCellSpacing w:w="0" w:type="dxa"/>
              </w:trPr>
              <w:tc>
                <w:tcPr>
                  <w:tcW w:w="0" w:type="auto"/>
                </w:tcPr>
                <w:tbl>
                  <w:tblPr>
                    <w:tblStyle w:val="3"/>
                    <w:tblW w:w="5000" w:type="pct"/>
                    <w:jc w:val="center"/>
                    <w:tblCellSpacing w:w="0" w:type="dxa"/>
                    <w:tblLayout w:type="autofit"/>
                    <w:tblCellMar>
                      <w:top w:w="0" w:type="dxa"/>
                      <w:left w:w="0" w:type="dxa"/>
                      <w:bottom w:w="0" w:type="dxa"/>
                      <w:right w:w="0" w:type="dxa"/>
                    </w:tblCellMar>
                  </w:tblPr>
                  <w:tblGrid>
                    <w:gridCol w:w="975"/>
                    <w:gridCol w:w="7241"/>
                  </w:tblGrid>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w:t>
                        </w:r>
                      </w:p>
                    </w:tc>
                    <w:tc>
                      <w:tcPr>
                        <w:tcW w:w="7241" w:type="dxa"/>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社会主义职业道德的基本原则是（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6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爱岗敬业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6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集体主义</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6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全心全意为人民服务</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6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诚实守信</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职业用语的基本要求是（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6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语言热情、语气亲切、语言简练、语意明确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语感热情、语气严肃、语言清楚、语意明确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语感自然、语气亲切、语言详尽、语意明确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语感自然、语调柔和、语流明快、语气严肃</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企业文化的主要功能是（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导向功能、激励功能、培育功能、推进功能</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自律功能、导向功能、整合功能、激励功能</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自律功能、整合功能、激励功能、培育功能</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自律功能、导向功能、整合功能、推进功能</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技术人员职业道德特点是：（）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质量第一，精益求精</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爱岗敬业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7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奉献社会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办事公道</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危险性作业场所，必须设置安全通道；出、入口不少于两个；通道和出入口应保持畅通。门窗应采用（ ）。多层厂房内主要楼梯和安全疏散楼梯，不得采用螺旋楼梯，应设计成直跑式。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推拉式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向内开启式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向外开启式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任何方式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有一冷藏室需用一块厚度为 100mm 的软木板作隔热层。现有两块面积厚度和材质相同的软 木板，但一块含水较多，另一块干燥，从隔热效果来看，宜选用(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含水较多的那块</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干燥的那块</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两块效果相同</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不能判断</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《劳动法》规定，用人单位必须建立、健全（　）制度，严格执行国家劳动安全卫生规程和标准，对劳动者进行劳动安全卫生教育，防止劳动过程中的事故，减少职业危害。</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8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劳动安全教育</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劳动纪律</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劳动事故处理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劳动安全卫生</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化学反应速度常数与下列因素中的( )无关。</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温度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浓度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反应物特性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活化能</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对管束和壳体温差不大，壳程物料较干净的场合可选( )换热器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浮头式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固定管板式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49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U 型管式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套管式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吸收过程能够进行的条件是(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p&gt;p*</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p=p*</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p&lt;="" td=""&gt;</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不需条件</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根据《安全生产法》，关于安全生产基本规定的说法，正确的是（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安全生产工作应当建立生产经营单位负责、专业服务机构参与，管监察部门监管，行业自律和社会监督的机制</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国务院和具级以上地方各级人民政府对安全生产工作实施综合监督管理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工会对生产经营单位的安全生产工作实施监督管理，维护职工安全生产方面的合法权益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生产经营单位委托专业服务机构提供安全生产技术，管理服务的，保证安全生产的责任仍由本单位负责</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根据《职业病防治法》，用人单位和医疗卫生机构发现职业病病人或者疑似职业病病人时，应当及时向（ ）报告。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0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所在地劳动保障行政部门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县级以上劳动保障部门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所在地卫生行政部门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县级以上卫生行政部门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晶形沉淀的沉淀条件是（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浓、冷、慢、搅、陈</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稀、热、快、搅、陈</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稀、热、慢、搅、陈</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稀、冷、慢、搅、陈</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设备布置图中，用（ ）线来表示设备安装基础。</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细实</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粗实</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1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点划</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根据《特种作业人员安全技术培训考核管理规定》，关于特种作业操作证复审的说法，正确的是(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种作业人员在特种作业操作证有效期内连续从事本工种10年以上，特作业操作证的复审时间可以延长至每10年1次</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特种作业操作证申请复审或者延期复审前，特种作业人员应当参加必要的全培调并考试合格，安全培训时间不少于4个学时</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特种作业人员适章操作造成严重后果或者有1次违章行为，特种作业操作复审不予通过</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特种作业人员因安全生产违法行为受到行政处罚，特种作业操作证复审不通过</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载体是固体催化剂的特有成分，载体一般具有（）的特点</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大结晶、小表面、多孔结构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小结晶、小表面、多孔结构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大结晶、大表面、多孔结构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小结晶、大表面、多孔结构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根据《特种设备安全法》，关于特种设备经营的说法，正确的是(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2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特种设备在出租期同的使用管理义务由承租单位承担，法律另有规定的除外</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特种没备在出租期间的维护保养义务由出租单位承担，当事人另有约定的除外</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经营企业销售未经检验的特种设备，应当报经特种设备安全监管部门批准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进口特种设备的安装及使用维护保养说明，应当采用中文和英文两种文字</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在生产中发生触电事故的原因主要有：缺乏电气安全知识；违反操作规程；偶然因素；维修 不善； (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电路设计不合理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电气设备不合格</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电气设备安装不合格</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生产负荷过大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烷烃①正庚烷、②正己烷、③2-甲基戊烷、④正癸烷的沸点由高到低的顺序是（）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①②③④</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③②①④</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3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④③②①</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④①②③</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下列不能通过电解食盐水得到的是（）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烧碱</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纯碱</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氢气</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氯气</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输送浓硫酸的喷射器，为了防腐，内壁可采用以下那种材料：（）</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环氧树脂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有机玻璃</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聚乙烯塑料</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耐酸陶瓷</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法兰装配时，法兰面必须垂直于管子中心线允许偏斜度，当公称直径小于300mm时为()mm，当公称直径大于300mm时为（）mm</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4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1，2</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2，2</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3，4</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4，5</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将1500 kg·h-1 ，80℃的硝基苯通过换热器冷却到40℃，冷却水初温为30℃，出口温度不超过35℃，硝基苯比热为 1.38kJ·kg-1 ·K-1，则换热器的热负荷为(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19800kJ ·h-1</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82800kJ ·h-1</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82800kw</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19800kw</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当换热器中冷热流体的进出口温度一定时，( )的说法是错误的。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逆流时，Δtm 一定大于并流、错流或折流时的Δtm；</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采用逆流操作时可以节约热流体(或冷流体)的用量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5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采用逆流操作可以减少所需的传热面积；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温度差校正系数 φΔt 的大小反映了流体流向接近逆流的程度。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在氮制冷系统中，卧式壳管式蒸发器的充液高度约为筒径的（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50~60</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55~65</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60~70</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70~80</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戴有氧呼吸器在毒区工作时，当氧气压力降至（）kgf/cm2以下时必须离开毒区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10</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18</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25</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30</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表示空气性质的三个温度，即干球温度t，湿球温度tw和露点td，对于不饱和的湿空气，三者的关系是（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6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t＜tw＜td</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t＞tw＞td</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td＜t＜tw</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td＞t＞tw</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混合气体中，氨的体积分数为20%，其摩尔比为（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0.2</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0.25</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0.5</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0.8</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29、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下列叙述正确的是（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溶液一旦达到过饱和就能自发的析出晶体</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过饱和溶液的温度与饱和溶液的温度差成为过饱和度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7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过饱和溶液可以通过冷却饱和溶液来制备</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对一定的溶质和溶剂其超饱和解度曲线只有一条</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逆流填料塔的泛点气速与液体喷淋量的关系是（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喷淋量减小泛点气速减小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无关</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喷淋量减小泛点气速增大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淋量增大泛点气速增大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安全阀检验调整时，调整压力一般为操作压力的（）倍</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1.0～1.1</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1.05～1.1</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1.05～1.2</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1.1～1.2</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为了消除噪声的污染，除采取从传播途径上控制外，还可以用耳塞作为个人的防护用品，通常耳塞的隔声值可达（）</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8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20-30分贝</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30-40分贝</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40-50分贝</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50-60分贝</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萃取中当出现( )时，说明萃取剂选择的不适宜。</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KA&lt;1</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KA=1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β&gt;l</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β≤l</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多级逆流萃取与单级萃取比较，如果溶剂比、萃取相浓度一样，则多级逆流萃取可使萃余相浓度(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变大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变小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59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基本不变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对离子膜电解装置，下列叙述错误的是（）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用阳离子交换膜将阴极室和阳极室隔开</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精制盐水加入阴极室，纯水加入阳极室</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氢氧化钠的浓度可由纯水量来调节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阳离子交换膜只允许阳离子通过</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DDZ--Ⅲ型电动单元组合仪表的标准统一信号和电源为（）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0-10mA；220VAC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4-20mA；24VDC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4-20mA；220VAC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0-10mA；24VDC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符合化工管路布置原则的是（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0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各种管线成列平行，尽量走直线</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管路铺设尽量采用暗线安装</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并列管路上的管件和阀门位置应集中安装</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平行管路垂直排列时，冷介质管路在上，热介质管路在下</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截止阀密封性能差，但不会造成阀门内漏的原因是（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介质结焦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阀芯脱落</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密封面损坏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结构简单</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39、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下列有关列管式换热器操作的叙述中，正确的是(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开车时排除不凝气，正常操作中不需要排放不凝气</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发生管堵时，应加大冷、热物料流量，以保持传热量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1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操作过程中，定期分析流体的成分,以确定有无内漏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停车时，应先停冷物料，再停热物料</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回流比R的大小对精馏操作影响很大，在达到一定的分离要求时（）</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当R增大时，操作线偏离平衡线越远，理论板增加</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当R增大时，操作线偏离平衡线越远，理论板减少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当R增大时，操作线偏离平衡线的状态不能确定理论板增加与减少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当R增大时，操作线偏离平衡线越远，理论板不变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结晶操作中溶液的过饱和度是指溶液质量浓度与溶解度的关系为（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两者相等</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前者小于后者</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前者大于后者</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都不对</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从温度一组成(t-x-y)图中的气液共存区内，当温度增加时，液相中易挥发组分的含量会（）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2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增大及减少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减少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两股不同组成的料液进同一精馏塔分离，两股料分别进入塔的相应塔板和两股料混合后再进 塔相比，前者能耗( )后者。</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大于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小于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等于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有时大于有时小于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下列物质中燃烧热不为零的是（）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N2(g)</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H2O(g)</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3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SO2(g)</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CO2(g)</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某气体在等径的管路中作稳定的等温流动，进口压力比出口压力大，则进口气体的平均流速 出口处的平均流速。(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大于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等于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小于</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膨胀阀的开启度与蒸发温度的关系是（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蒸发温度高开启度大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蒸发温度高开启度小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蒸发温度低开启度大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开启度调定后不变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当流量、管长和管子的摩擦系数等不变时，管路阻力近似地与管径的（）次方成反比</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4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2</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3</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4</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5</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在滴定分析中，出现的下列情况，哪种有系统误差(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试样未经充分混匀</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滴定管的读数读错</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滴定时有液滴溅出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砝码未经校正</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49、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用纯溶剂 S 对 A B 混合液进行单级萃取，F、XF 不变， 加大萃取剂用量，通常所得萃取液 的组成yA 将(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5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在测定离心泵性能时，若将压强表装在调节阀后面，则压强表读数P2 ，将（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随流量增大而减小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随流量增大而增大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随流量增大而基本不变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随流量增大而先增大后减小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化工生产上，用于均相反应过程的化学反应器主要有（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釜式、管式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鼓泡塔式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固定床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流化床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在自动控制系统中，用()控制器可以达到无余差。（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6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比例</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双位</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积分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微分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在节流装置的流量测量中进行温度、压力等修正是修正（）</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疏忽误差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偶然误差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系统误差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附加误差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离心泵汽蚀余量 Δh 随流量Q 的增大，汽蚀余量 Δh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7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先增大后减小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精馏操作中，当F、xF、xD、xW及回流比R一定时，仅将进料状态由饱和液体改为饱和蒸汽进料，则完成分离任务所需的理论塔板数将（）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减少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增加</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以上答案都不正确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工业反应器的设计评价指标有：①转化率；②选择性；③（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效率</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产量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收率</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操作性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防止离心泵发生汽蚀的有效措施不包括（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8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泵的吸入管尽可能短</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防止吸入液体温度过高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适当降低泵的安装高度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采用较细的吸入管</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低浓度逆流吸收塔设计中，若气体流量、进出口组成及液体进口组成一定，减小吸收剂用量，传质推动力将(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变大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变小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59、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在常压下苯的沸点为80.1℃，环己烷的沸点为80.73℃，欲使该两组分混合物得到分离，则宜采用（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恒沸精馏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普通精馏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69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萃取精馏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水蒸气蒸馏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对称三相四线制供电电路，若端线上的一根保险丝熔断，则保险丝两端的电压为（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线电压</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相电压</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相电压+线电压</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线电压的一半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在二元连续精馏塔的操作中，进料量及组成不变，再沸器热负荷恒定，若回流比减少，则塔顶低沸点组分浓度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升高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下降</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套管冷凝器的内管走空气，管间走饱和水蒸气，如果蒸汽压力一定，空气进口温度一定，当空气流量增加时传热系数K 应(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0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基本不变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无法判断</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安全阀应铅直地安装在（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容器的高压进口管道上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管道接头前</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容器与管道之间</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气相界面位置上</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连续精馏，提馏段操作线位置一般与（ ）无关</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进料量的多少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进料的热状况</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1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釜残液的组成</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回流比</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稳定的多层平壁的导热中，某层的热阻愈大，则该层的温度差(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越大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越小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无法确定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带控制点的工艺流程图中，仪表控制点以（ ）在相应的管路上用代号、符号画出。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细实线</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粗实线</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虚线</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点划线</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化工工艺通常可分为（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2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无机化工和基本有机化工艺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无机化工、基本有机化工和高分子化工工艺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无机化工、基本有机化工、精细化学品工艺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无机化工、基本有机化工、高分子化工、精细化学品制造</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下列操作中（）会造成塔底轻组分含量大。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塔顶回流量小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塔釜蒸汽量大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回流量大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进料温度高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69、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自动控制系统中完成比较、判断和运算功能的仪器是（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变送器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执行装置</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3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检测元件</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控制器</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在泡沫塔中，当空塔速度介于0.5～0.7m/s时，气液两相将形成（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鼓泡层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泡沫层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雾沫层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液泛层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71、</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化工工艺流程图中的设备用()线画出，主要物料的流程线用（）实线表示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细，粗</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细，细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粗，粗</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粗，细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72、</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关于分析结果的系统误差叙述正确的是（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4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系统误差是随机产生的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系统误差难以测试</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系统误差呈现正态分布</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系统误差其有单向性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73、</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生物化工的优点有(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反应条件温和</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能耗低，效率高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选择性强，三废少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前三项都是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74、</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催化剂的主要评价指标是（）</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活性、选择性、状态、价格</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活性、选择性、寿命、稳定性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5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活性、选择性、环保性、密度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活性、选择性、环保性、表面光洁度</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75、</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流体在圆形直管内做滞流流动时，其管中心最大流速u与平均流速uC的关系为（）</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uC=0.5u</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u=0.5uC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u=2uC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u=3uC</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76、</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对一个反应在生产中采用什么反应器并无严格规定，但首先以满足( )为主</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工艺要求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减少能耗</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操作简便</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结构紧凑</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77、</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关于纯碱生产工艺中吸氨操作描述错误的是（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6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吸氨塔中的沉积物需经常进行清理</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整个吸氨系统的操作是在加压下进行的</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将吸氨塔分成数段，充分利用位差以节省动力</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系统中有S2-存在，会对设备造成严重腐蚀，需及时除去</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78、</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对于低压下放热的可逆气相反应，温度升高，则平衡常数(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增大</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5"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6"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不能确定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79、</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职业理念的三观不包含：（）</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7"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世界观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8"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人生观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79"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价值观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80"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信仰观</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80、</w:t>
                        </w:r>
                      </w:p>
                    </w:tc>
                    <w:tc>
                      <w:tcPr>
                        <w:tcW w:w="7241" w:type="dxa"/>
                      </w:tcPr>
                      <w:p>
                        <w:pPr>
                          <w:widowControl/>
                          <w:jc w:val="left"/>
                          <w:rPr>
                            <w:rFonts w:ascii="Times New Roman" w:hAnsi="Times New Roman" w:eastAsia="Times New Roman" w:cs="Times New Roman"/>
                            <w:kern w:val="0"/>
                            <w:sz w:val="20"/>
                            <w:szCs w:val="20"/>
                          </w:rPr>
                        </w:pPr>
                        <w:r>
                          <w:rPr>
                            <w:rFonts w:hint="eastAsia" w:ascii="宋体" w:hAnsi="宋体" w:eastAsia="宋体" w:cs="宋体"/>
                            <w:color w:val="666666"/>
                            <w:kern w:val="0"/>
                            <w:sz w:val="18"/>
                            <w:szCs w:val="18"/>
                          </w:rPr>
                          <w:t>填料塔中用清水吸收混合气中NH3，当水泵发生故障上水量减少时，气相总传质单元数( )</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81"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A、 增加</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82"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B、 减小</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83"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C、 不变</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pict>
                            <v:shape id="_x0000_i1784" o:spt="75" type="#_x0000_t75" style="height:19.5pt;width:20.25pt;" filled="f" o:preferrelative="t" stroked="f" coordsize="21600,21600">
                              <v:path/>
                              <v:fill on="f" focussize="0,0"/>
                              <v:stroke on="f" joinstyle="miter"/>
                              <v:imagedata r:id="rId4" o:title=""/>
                              <o:lock v:ext="edit" aspectratio="t"/>
                              <w10:wrap type="none"/>
                              <w10:anchorlock/>
                            </v:shape>
                          </w:pict>
                        </w:r>
                        <w:r>
                          <w:rPr>
                            <w:rFonts w:hint="eastAsia" w:ascii="宋体" w:hAnsi="宋体" w:eastAsia="宋体" w:cs="宋体"/>
                            <w:color w:val="666666"/>
                            <w:kern w:val="0"/>
                            <w:sz w:val="18"/>
                            <w:szCs w:val="18"/>
                          </w:rPr>
                          <w:t> D、 不确定</w:t>
                        </w: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rHeight w:val="180" w:hRule="atLeast"/>
                      <w:tblCellSpacing w:w="0" w:type="dxa"/>
                      <w:jc w:val="center"/>
                    </w:trPr>
                    <w:tc>
                      <w:tcPr>
                        <w:tcW w:w="975" w:type="dxa"/>
                      </w:tcPr>
                      <w:p>
                        <w:pPr>
                          <w:widowControl/>
                          <w:jc w:val="left"/>
                          <w:rPr>
                            <w:rFonts w:hint="eastAsia" w:ascii="宋体" w:hAnsi="宋体" w:eastAsia="宋体" w:cs="宋体"/>
                            <w:color w:val="666666"/>
                            <w:kern w:val="0"/>
                            <w:sz w:val="18"/>
                            <w:szCs w:val="18"/>
                          </w:rPr>
                        </w:pPr>
                      </w:p>
                    </w:tc>
                    <w:tc>
                      <w:tcPr>
                        <w:tcW w:w="7241" w:type="dxa"/>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color w:val="666666"/>
                      <w:kern w:val="0"/>
                      <w:sz w:val="18"/>
                      <w:szCs w:val="18"/>
                    </w:rPr>
                  </w:pPr>
                </w:p>
              </w:tc>
            </w:tr>
          </w:tbl>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blCellSpacing w:w="0" w:type="dxa"/>
          <w:jc w:val="center"/>
        </w:trPr>
        <w:tc>
          <w:tcPr>
            <w:tcW w:w="0" w:type="auto"/>
            <w:vAlign w:val="center"/>
          </w:tcPr>
          <w:p>
            <w:pPr>
              <w:widowControl/>
              <w:jc w:val="left"/>
              <w:rPr>
                <w:rFonts w:ascii="宋体" w:hAnsi="宋体" w:eastAsia="宋体" w:cs="宋体"/>
                <w:color w:val="666666"/>
                <w:kern w:val="0"/>
                <w:sz w:val="18"/>
                <w:szCs w:val="18"/>
              </w:rPr>
            </w:pPr>
            <w:r>
              <w:rPr>
                <w:rFonts w:hint="eastAsia" w:ascii="宋体" w:hAnsi="宋体" w:eastAsia="宋体" w:cs="宋体"/>
                <w:color w:val="666666"/>
                <w:kern w:val="0"/>
                <w:sz w:val="18"/>
                <w:szCs w:val="18"/>
              </w:rPr>
              <w:t> </w:t>
            </w:r>
          </w:p>
        </w:tc>
      </w:tr>
      <w:tr>
        <w:tblPrEx>
          <w:tblCellMar>
            <w:top w:w="0" w:type="dxa"/>
            <w:left w:w="0" w:type="dxa"/>
            <w:bottom w:w="0" w:type="dxa"/>
            <w:right w:w="0" w:type="dxa"/>
          </w:tblCellMar>
        </w:tblPrEx>
        <w:trPr>
          <w:tblCellSpacing w:w="0" w:type="dxa"/>
          <w:jc w:val="center"/>
        </w:trPr>
        <w:tc>
          <w:tcPr>
            <w:tcW w:w="0" w:type="auto"/>
            <w:vAlign w:val="center"/>
          </w:tcPr>
          <w:tbl>
            <w:tblPr>
              <w:tblStyle w:val="3"/>
              <w:tblW w:w="5000" w:type="pct"/>
              <w:tblCellSpacing w:w="0" w:type="dxa"/>
              <w:tblInd w:w="0" w:type="dxa"/>
              <w:tblLayout w:type="autofit"/>
              <w:tblCellMar>
                <w:top w:w="45" w:type="dxa"/>
                <w:left w:w="45" w:type="dxa"/>
                <w:bottom w:w="45" w:type="dxa"/>
                <w:right w:w="45" w:type="dxa"/>
              </w:tblCellMar>
            </w:tblPr>
            <w:tblGrid>
              <w:gridCol w:w="8306"/>
            </w:tblGrid>
            <w:tr>
              <w:trPr>
                <w:tblCellSpacing w:w="0" w:type="dxa"/>
              </w:trPr>
              <w:tc>
                <w:tcPr>
                  <w:tcW w:w="0" w:type="auto"/>
                  <w:vAlign w:val="center"/>
                </w:tcPr>
                <w:p>
                  <w:pPr>
                    <w:widowControl/>
                    <w:jc w:val="left"/>
                    <w:rPr>
                      <w:rFonts w:hint="eastAsia" w:ascii="宋体" w:hAnsi="宋体" w:eastAsia="宋体" w:cs="宋体"/>
                      <w:color w:val="666666"/>
                      <w:kern w:val="0"/>
                      <w:sz w:val="18"/>
                      <w:szCs w:val="18"/>
                    </w:rPr>
                  </w:pPr>
                  <w:r>
                    <w:rPr>
                      <w:rFonts w:hint="eastAsia" w:ascii="宋体" w:hAnsi="宋体" w:eastAsia="宋体" w:cs="宋体"/>
                      <w:b/>
                      <w:bCs/>
                      <w:color w:val="666666"/>
                      <w:kern w:val="0"/>
                      <w:sz w:val="18"/>
                      <w:szCs w:val="18"/>
                    </w:rPr>
                    <w:t>二、判断题（共60道题，每题0.6分）</w:t>
                  </w:r>
                </w:p>
              </w:tc>
            </w:tr>
            <w:tr>
              <w:trPr>
                <w:tblCellSpacing w:w="0" w:type="dxa"/>
              </w:trPr>
              <w:tc>
                <w:tcPr>
                  <w:tcW w:w="0" w:type="auto"/>
                </w:tcPr>
                <w:tbl>
                  <w:tblPr>
                    <w:tblStyle w:val="3"/>
                    <w:tblW w:w="5000" w:type="pct"/>
                    <w:jc w:val="center"/>
                    <w:tblCellSpacing w:w="0" w:type="dxa"/>
                    <w:tblLayout w:type="autofit"/>
                    <w:tblCellMar>
                      <w:top w:w="0" w:type="dxa"/>
                      <w:left w:w="0" w:type="dxa"/>
                      <w:bottom w:w="0" w:type="dxa"/>
                      <w:right w:w="0" w:type="dxa"/>
                    </w:tblCellMar>
                  </w:tblPr>
                  <w:tblGrid>
                    <w:gridCol w:w="975"/>
                    <w:gridCol w:w="7241"/>
                  </w:tblGrid>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1、</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全面质量管理的目的就是要减少以致消灭不良品。</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4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4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吸收操作线方程是由物料衡算得出的，因而它与吸收相平衡、吸收温度、两相接触状况、塔的结构等都没有关系。</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4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4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职业资格是对劳动者具有从事某种职业必备的学识、技术、能力的基本要求。</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4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5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化工机械常用的防腐措施有改善介质的腐蚀条件、采用电化学保护和表面覆盖层法。</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5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5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含汞、铬、铅等的工业废水不能用化学沉淀法治理。</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5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5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6、</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化工污染一般是由生产事故造成的。</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5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5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7、</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制冷剂经减压阀后，压力下降，体积增大，焓值也增大。</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5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5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8、</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依据《安全生产法》的规定，危险物品的生产、经营、储存单位都应建立应急救援组织，配备必要的应急救援器材、设备和物资。</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5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6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9、</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职工再次发生工伤，根据规定应当享受伤残津贴的，可以按照原认定的伤残等级享受伤残津贴待遇。</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6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6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10、</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由离心泵和某一管路组成的输送系统，其工作点由泵铭牌上的流量和扬程所决定。</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6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6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11、</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工业反应器按换热方式可分为：等温反应器；绝热反应器；非等温、非绝热反应器等。</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6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6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12、</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尿素蒸发加热器蒸汽进口调节阀应采用气关阀。</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宋体" w:hAnsi="宋体" w:eastAsia="宋体" w:cs="宋体"/>
                            <w:color w:val="666666"/>
                            <w:kern w:val="0"/>
                            <w:sz w:val="18"/>
                            <w:szCs w:val="18"/>
                          </w:rPr>
                        </w:pPr>
                        <w:r>
                          <w:rPr>
                            <w:rFonts w:hint="eastAsia" w:ascii="宋体" w:hAnsi="宋体" w:eastAsia="宋体" w:cs="宋体"/>
                            <w:b/>
                            <w:bCs/>
                            <w:color w:val="666666"/>
                            <w:kern w:val="0"/>
                            <w:sz w:val="18"/>
                            <w:szCs w:val="18"/>
                          </w:rPr>
                          <w:t>正确答案：</w:t>
                        </w:r>
                        <w:r>
                          <w:rPr>
                            <w:rFonts w:hint="eastAsia" w:ascii="宋体" w:hAnsi="宋体" w:eastAsia="宋体" w:cs="宋体"/>
                            <w:color w:val="666666"/>
                            <w:kern w:val="0"/>
                            <w:sz w:val="18"/>
                            <w:szCs w:val="18"/>
                          </w:rPr>
                          <w:t>错误</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6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6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13、</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依据《安全生产法》的规定，某企业安全生产管理人员在监察本企业的安全生产状况和事故隐患工作时，对检查中发现的安全问题，立即报告本企业有关负责人，同时向主管的有安全监管职责的部门报告，报告情况如实记录在案。</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6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7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14、</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精馏操作中，在进料状态稳定的情况下，塔内气相负荷的大小是通过调整回流比大小来实现的。</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7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7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15、</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催化剂的骨架密度大于颗粒密度，催化剂的堆积密度小于颗粒密度。</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7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7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16、</w:t>
                        </w:r>
                      </w:p>
                    </w:tc>
                    <w:tc>
                      <w:tcPr>
                        <w:tcW w:w="0" w:type="auto"/>
                      </w:tcPr>
                      <w:p>
                        <w:pPr>
                          <w:widowControl/>
                          <w:spacing w:before="100" w:beforeAutospacing="1" w:after="100" w:afterAutospacing="1"/>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根据可逆变换反应式 CO+H2O ≒ CO2+H2，反应前后气体体积不变，则增加压力对该反应平衡无影响，因此变换反应过程应在常压下进行。</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7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7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17、</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采用多效蒸发的主要目的是为了节约能耗。</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7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7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18、</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在连续逆流萃取塔操作时，为增加相际接触面积，一般应选流量小的一相作为分散相</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7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8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19、</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若将 H2C2O4 ·2H2O 基准物长期放在有硅胶的干燥器中，用它来标定NaOH 溶液的浓度时，会造成测定结果偏高。</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8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8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20、</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任何一张零件图都必须具备一组视图、制造和检验的全部尺寸、技术要求、标题栏，否则不 能满足要求。</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8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8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21、</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精馏塔的操作弹性越大，说明保证该塔正常操作的范围越大，操作越稳定。</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8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8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22、</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测量误差的表示方法一般分为绝对误差、相对误差和引用误差。</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8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8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23、</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冷、热管线必须在同一立面布置时，热管在上、冷管在下。</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8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9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24、</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大多数有机化合物难溶于水，易溶于有机溶剂，是因为有机物都是分子晶体。</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9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9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25、</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方案流程图一般仅画出主要设备和主要物料的流程线，用于粗略地表示生产流程。</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9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9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26、</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若将同一转速的同一型号离心泵分别装在一条阻力很大，一条阻力很小的管路中进行性能测量时，其测出泵的性能曲线就不一样。</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9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9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27、</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对一定操作条件下的填料吸收塔，如将塔填料层增高一些，则塔的HOG 将增大，NOG 将不变。</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9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39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28、</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在危险化学品管道及其附属设施外缘两侧各5m地域范围内，不得种植乔木、灌木、取土、采石、用火、堆放重物、排放腐蚀性物质、建房以及修建其他建(构)筑物。</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39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0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29、</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离心泵的性能曲线中的H-Q 线是在功率一定的情况下测定的。</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0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0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30、</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使用液化气时的点火方法，应是“气等火”。</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0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0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31、</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在化工生产中，为了加强个人防护，必须穿戴工作服。</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0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0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32、</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安全阀的检验周期经有关部门认定后可以适当延长，但最多5年校验一次。（ ）</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0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0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33、</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识大体、顾大局，搞好群体协作是化工职业道德的建设的重要内容之一。</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0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1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34、</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浓度为10^-5mol／L的盐酸溶液稀释10000倍，所得溶液的pH值为9。</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1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1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35、</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金属铝的两性指的是酸性和碱性。</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1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1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36、</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隔膜法电解氯化钠与离子膜法电解氯化钠相比，得到的烧碱含盐量高但对原料纯度要求低。</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1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1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37、</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工业电石是由生石灰与焦炭或无烟煤在电炉内加热至2200℃反应制得。</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1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1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38、</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分析检验中报告分析结果时，常用标准偏差表示数据的分散程度。</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1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2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39、</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依据光的吸收定律进行定量分析的分光光度法，应采用的入射光为单色光。</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2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2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40、</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酸碱滴定中指示剂的选择依据是待测酸碱的强度。</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2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2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41、</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在萃取剂用量相同的情况下，少量多次萃取的方式比一次萃取的方式萃取率要低得多。</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2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2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42、</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75％的乙醇水溶液中，乙醇称为溶质，水称为溶剂。</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2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2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43、</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在感性负载电路中，加接电容器，可补偿提高功率因数，其效果是减少了电路总电流，使有功功率减少，节省电能。</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2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3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44、</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使用校准电子电位差计，校对完检流计的机械零位和电气零位后，使用中可以移动。</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3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3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45、</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《危险化学品安全管理条例》规定，国家对危险化学品的生产和储存实行审批制度，对危险化学品的经营销售实行许可证制度，对危险化学品的运输实行登记制度。</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3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3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46、</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流体发生自流的条件是上游的能量大于下游的能量。</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3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3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47、</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在列管换热器中，采用多程结构，可增大换热面积。</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3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3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48、</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安全生产法规可分为国务院行政法规、部门规章和地方性行政法规。</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3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4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49、</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变压器不仅有变压、变流的作用，而且还有变阻抗的作用。</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4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4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50、</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逆流加料的蒸发流程不需要用泵来输送溶液，因此能耗低，装置简单。</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4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4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51、</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膨胀节是一种位移补偿器，波纹管膨胀节能同时补偿轴向、径向的位移。</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4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4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52、</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分离过程可以分为机械分离和传质分离过程两大类。</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4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4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53、</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过滤、沉降属于传质分离过程。</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4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5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54、</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在一般过滤操作中，实际上起到主要介质作用的是滤饼层而不是过滤介质本身。</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5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5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55、</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压缩机铭牌上标注的生产能力，通常是指常温状态下的体积流量。</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5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5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56、</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在恒速干燥阶段，湿物料表面的温度近似等于热空气的湿球温度。</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55"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56"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57、</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文明生产的内容包括遵章守纪、优化现场环境、严格工艺纪律、相互配合协调。</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57"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58"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58、</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DTB型结晶器属于间歇结晶设备。</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59"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60"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59、</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尿素溶液的结晶是利用尿素在不同温度下相对挥发度的差别，将尿素从溶液中结晶分离出来。</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61"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62"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rHeight w:val="375" w:hRule="atLeast"/>
                      <w:tblCellSpacing w:w="0" w:type="dxa"/>
                      <w:jc w:val="center"/>
                    </w:trPr>
                    <w:tc>
                      <w:tcPr>
                        <w:tcW w:w="975" w:type="dxa"/>
                      </w:tcPr>
                      <w:p>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60、</w:t>
                        </w:r>
                      </w:p>
                    </w:tc>
                    <w:tc>
                      <w:tcPr>
                        <w:tcW w:w="0" w:type="auto"/>
                      </w:tcPr>
                      <w:p>
                        <w:pPr>
                          <w:widowControl/>
                          <w:jc w:val="left"/>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在逆流吸收操作中，若已知平衡线与操作线为互相平行的直线，则全塔的平均推动力△Ym 与塔内任意截面的推动力Y-Y*相等。</w:t>
                        </w:r>
                      </w:p>
                    </w:tc>
                  </w:tr>
                  <w:tr>
                    <w:tblPrEx>
                      <w:tblCellMar>
                        <w:top w:w="0" w:type="dxa"/>
                        <w:left w:w="0" w:type="dxa"/>
                        <w:bottom w:w="0" w:type="dxa"/>
                        <w:right w:w="0" w:type="dxa"/>
                      </w:tblCellMar>
                    </w:tblPrEx>
                    <w:trPr>
                      <w:trHeight w:val="375"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vAlign w:val="center"/>
                      </w:tcPr>
                      <w:p>
                        <w:pPr>
                          <w:widowControl/>
                          <w:jc w:val="left"/>
                          <w:rPr>
                            <w:rFonts w:ascii="宋体" w:hAnsi="宋体" w:eastAsia="宋体" w:cs="宋体"/>
                            <w:color w:val="666666"/>
                            <w:kern w:val="0"/>
                            <w:sz w:val="18"/>
                            <w:szCs w:val="18"/>
                          </w:rPr>
                        </w:pPr>
                        <w:r>
                          <w:rPr>
                            <w:rFonts w:ascii="宋体" w:hAnsi="宋体" w:eastAsia="宋体" w:cs="宋体"/>
                            <w:color w:val="666666"/>
                            <w:kern w:val="0"/>
                            <w:sz w:val="18"/>
                            <w:szCs w:val="18"/>
                          </w:rPr>
                          <w:object>
                            <v:shape id="_x0000_i1463"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正确       </w:t>
                        </w:r>
                        <w:r>
                          <w:rPr>
                            <w:rFonts w:ascii="宋体" w:hAnsi="宋体" w:eastAsia="宋体" w:cs="宋体"/>
                            <w:color w:val="666666"/>
                            <w:kern w:val="0"/>
                            <w:sz w:val="18"/>
                            <w:szCs w:val="18"/>
                          </w:rPr>
                          <w:object>
                            <v:shape id="_x0000_i1464" o:spt="201" type="#_x0000_t201" style="height:19.5pt;width:20.25pt;" o:ole="t" filled="f" o:preferrelative="t" stroked="f" coordsize="21600,21600">
                              <v:path/>
                              <v:fill on="f" focussize="0,0"/>
                              <v:stroke on="f" joinstyle="miter"/>
                              <v:imagedata r:id="rId4" o:title=""/>
                              <o:lock v:ext="edit" aspectratio="t"/>
                              <w10:wrap type="none"/>
                              <w10:anchorlock/>
                            </v:shape>
                          </w:object>
                        </w:r>
                        <w:r>
                          <w:rPr>
                            <w:rFonts w:hint="eastAsia" w:ascii="宋体" w:hAnsi="宋体" w:eastAsia="宋体" w:cs="宋体"/>
                            <w:color w:val="666666"/>
                            <w:kern w:val="0"/>
                            <w:sz w:val="18"/>
                            <w:szCs w:val="18"/>
                          </w:rPr>
                          <w:t> 错误</w:t>
                        </w:r>
                      </w:p>
                    </w:tc>
                  </w:tr>
                  <w:tr>
                    <w:tblPrEx>
                      <w:tblCellMar>
                        <w:top w:w="0" w:type="dxa"/>
                        <w:left w:w="0" w:type="dxa"/>
                        <w:bottom w:w="0" w:type="dxa"/>
                        <w:right w:w="0" w:type="dxa"/>
                      </w:tblCellMar>
                    </w:tblPrEx>
                    <w:trPr>
                      <w:trHeight w:val="180" w:hRule="atLeast"/>
                      <w:tblCellSpacing w:w="0" w:type="dxa"/>
                      <w:jc w:val="center"/>
                    </w:trPr>
                    <w:tc>
                      <w:tcPr>
                        <w:tcW w:w="0" w:type="auto"/>
                      </w:tcPr>
                      <w:p>
                        <w:pPr>
                          <w:widowControl/>
                          <w:jc w:val="left"/>
                          <w:rPr>
                            <w:rFonts w:hint="eastAsia" w:ascii="宋体" w:hAnsi="宋体" w:eastAsia="宋体" w:cs="宋体"/>
                            <w:color w:val="666666"/>
                            <w:kern w:val="0"/>
                            <w:sz w:val="18"/>
                            <w:szCs w:val="18"/>
                          </w:rPr>
                        </w:pPr>
                      </w:p>
                    </w:tc>
                    <w:tc>
                      <w:tcPr>
                        <w:tcW w:w="0" w:type="auto"/>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color w:val="666666"/>
                      <w:kern w:val="0"/>
                      <w:sz w:val="18"/>
                      <w:szCs w:val="18"/>
                    </w:rPr>
                  </w:pPr>
                </w:p>
              </w:tc>
            </w:tr>
          </w:tbl>
          <w:p>
            <w:pPr>
              <w:widowControl/>
              <w:jc w:val="left"/>
              <w:rPr>
                <w:rFonts w:ascii="宋体" w:hAnsi="宋体" w:eastAsia="宋体" w:cs="宋体"/>
                <w:color w:val="666666"/>
                <w:kern w:val="0"/>
                <w:sz w:val="18"/>
                <w:szCs w:val="18"/>
              </w:rPr>
            </w:pPr>
          </w:p>
        </w:tc>
      </w:tr>
      <w:tr>
        <w:tblPrEx>
          <w:tblCellMar>
            <w:top w:w="0" w:type="dxa"/>
            <w:left w:w="0" w:type="dxa"/>
            <w:bottom w:w="0" w:type="dxa"/>
            <w:right w:w="0" w:type="dxa"/>
          </w:tblCellMar>
        </w:tblPrEx>
        <w:trPr>
          <w:tblCellSpacing w:w="0" w:type="dxa"/>
          <w:jc w:val="center"/>
        </w:trPr>
        <w:tc>
          <w:tcPr>
            <w:tcW w:w="0" w:type="auto"/>
            <w:vAlign w:val="center"/>
          </w:tcPr>
          <w:p>
            <w:pPr>
              <w:widowControl/>
              <w:jc w:val="left"/>
              <w:rPr>
                <w:rFonts w:ascii="宋体" w:hAnsi="宋体" w:eastAsia="宋体" w:cs="宋体"/>
                <w:color w:val="666666"/>
                <w:kern w:val="0"/>
                <w:sz w:val="18"/>
                <w:szCs w:val="18"/>
              </w:rPr>
            </w:pPr>
            <w:r>
              <w:rPr>
                <w:rFonts w:hint="eastAsia" w:ascii="宋体" w:hAnsi="宋体" w:eastAsia="宋体" w:cs="宋体"/>
                <w:color w:val="666666"/>
                <w:kern w:val="0"/>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C0"/>
    <w:rsid w:val="002F7E71"/>
    <w:rsid w:val="004771EB"/>
    <w:rsid w:val="009505C0"/>
    <w:rsid w:val="3190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4404</Words>
  <Characters>25107</Characters>
  <Lines>209</Lines>
  <Paragraphs>58</Paragraphs>
  <TotalTime>26</TotalTime>
  <ScaleCrop>false</ScaleCrop>
  <LinksUpToDate>false</LinksUpToDate>
  <CharactersWithSpaces>29453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2023-12-18T01:30:00Z</dcterms:created>
  <dc:creator>lenovo</dc:creator>
  <cp:lastModifiedBy>-ZCH-</cp:lastModifiedBy>
  <dcterms:modified xsi:type="dcterms:W3CDTF">2023-12-19T09:24:10Z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