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ink/ink2.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highlight w:val="none"/>
        </w:rPr>
      </w:pPr>
      <w:r>
        <w:rPr>
          <w:rFonts w:hint="eastAsia" w:ascii="方正小标宋简体" w:eastAsia="方正小标宋简体" w:cs="方正小标宋简体"/>
          <w:sz w:val="32"/>
          <w:szCs w:val="32"/>
          <w:highlight w:val="none"/>
        </w:rPr>
        <w:t>202</w:t>
      </w:r>
      <w:r>
        <w:rPr>
          <w:rFonts w:hint="eastAsia" w:ascii="方正小标宋简体" w:eastAsia="方正小标宋简体" w:cs="方正小标宋简体"/>
          <w:sz w:val="32"/>
          <w:szCs w:val="32"/>
          <w:highlight w:val="none"/>
          <w:lang w:val="en-US" w:eastAsia="zh-CN"/>
        </w:rPr>
        <w:t>3</w:t>
      </w:r>
      <w:r>
        <w:rPr>
          <w:rFonts w:hint="eastAsia" w:ascii="方正小标宋简体" w:eastAsia="方正小标宋简体" w:cs="方正小标宋简体"/>
          <w:sz w:val="32"/>
          <w:szCs w:val="32"/>
          <w:highlight w:val="none"/>
        </w:rPr>
        <w:t>年山东省职业院校技能大赛</w:t>
      </w:r>
    </w:p>
    <w:p>
      <w:pPr>
        <w:snapToGrid w:val="0"/>
        <w:spacing w:line="580" w:lineRule="exact"/>
        <w:jc w:val="center"/>
        <w:rPr>
          <w:rFonts w:ascii="方正小标宋简体" w:eastAsia="方正小标宋简体"/>
          <w:sz w:val="32"/>
          <w:szCs w:val="32"/>
          <w:highlight w:val="none"/>
        </w:rPr>
      </w:pPr>
      <w:r>
        <w:rPr>
          <w:rFonts w:hint="eastAsia" w:ascii="方正小标宋简体" w:eastAsia="方正小标宋简体" w:cs="方正小标宋简体"/>
          <w:sz w:val="32"/>
          <w:szCs w:val="32"/>
          <w:highlight w:val="none"/>
          <w:lang w:eastAsia="zh-CN"/>
        </w:rPr>
        <w:t>中</w:t>
      </w:r>
      <w:r>
        <w:rPr>
          <w:rFonts w:hint="eastAsia" w:ascii="方正小标宋简体" w:eastAsia="方正小标宋简体" w:cs="方正小标宋简体"/>
          <w:sz w:val="32"/>
          <w:szCs w:val="32"/>
          <w:highlight w:val="none"/>
        </w:rPr>
        <w:t>职组“制冷与空调设备组装与调试”赛项规程</w:t>
      </w:r>
    </w:p>
    <w:p>
      <w:pPr>
        <w:snapToGrid w:val="0"/>
        <w:spacing w:line="580" w:lineRule="exact"/>
        <w:jc w:val="center"/>
        <w:rPr>
          <w:rFonts w:ascii="仿宋_GB2312" w:eastAsia="仿宋_GB2312"/>
          <w:sz w:val="32"/>
          <w:szCs w:val="32"/>
          <w:highlight w:val="none"/>
        </w:rPr>
      </w:pPr>
    </w:p>
    <w:p>
      <w:pPr>
        <w:keepNext w:val="0"/>
        <w:keepLines w:val="0"/>
        <w:pageBreakBefore w:val="0"/>
        <w:kinsoku/>
        <w:wordWrap/>
        <w:overflowPunct/>
        <w:topLinePunct w:val="0"/>
        <w:autoSpaceDE/>
        <w:autoSpaceDN/>
        <w:bidi w:val="0"/>
        <w:snapToGrid w:val="0"/>
        <w:spacing w:line="360" w:lineRule="auto"/>
        <w:ind w:firstLine="453" w:firstLineChars="189"/>
        <w:outlineLvl w:val="9"/>
        <w:rPr>
          <w:rFonts w:ascii="黑体" w:hAnsi="黑体" w:eastAsia="黑体"/>
          <w:spacing w:val="-8"/>
          <w:sz w:val="24"/>
          <w:szCs w:val="24"/>
          <w:highlight w:val="none"/>
        </w:rPr>
      </w:pPr>
      <w:r>
        <w:rPr>
          <w:rFonts w:hint="eastAsia" w:ascii="黑体" w:hAnsi="黑体" w:eastAsia="黑体"/>
          <w:sz w:val="24"/>
          <w:szCs w:val="24"/>
          <w:highlight w:val="none"/>
        </w:rPr>
        <w:t>一、</w:t>
      </w:r>
      <w:r>
        <w:rPr>
          <w:rFonts w:hint="eastAsia" w:ascii="黑体" w:hAnsi="黑体" w:eastAsia="黑体"/>
          <w:spacing w:val="-8"/>
          <w:sz w:val="24"/>
          <w:szCs w:val="24"/>
          <w:highlight w:val="none"/>
        </w:rPr>
        <w:t>赛项名称</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rPr>
      </w:pPr>
      <w:r>
        <w:rPr>
          <w:rFonts w:hint="eastAsia" w:ascii="仿宋_GB2312" w:eastAsia="仿宋_GB2312"/>
          <w:spacing w:val="-8"/>
          <w:sz w:val="24"/>
          <w:szCs w:val="24"/>
          <w:highlight w:val="none"/>
        </w:rPr>
        <w:t>赛项名称：制冷与空调设备组装与调试</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rPr>
      </w:pPr>
      <w:r>
        <w:rPr>
          <w:rFonts w:hint="eastAsia" w:ascii="仿宋_GB2312" w:eastAsia="仿宋_GB2312"/>
          <w:spacing w:val="-8"/>
          <w:sz w:val="24"/>
          <w:szCs w:val="24"/>
          <w:highlight w:val="none"/>
        </w:rPr>
        <w:t>赛项组别：中职组</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ascii="仿宋_GB2312" w:eastAsia="仿宋_GB2312"/>
          <w:sz w:val="32"/>
          <w:szCs w:val="32"/>
          <w:highlight w:val="none"/>
        </w:rPr>
      </w:pPr>
      <w:r>
        <w:rPr>
          <w:rFonts w:hint="eastAsia" w:ascii="仿宋_GB2312" w:eastAsia="仿宋_GB2312"/>
          <w:spacing w:val="-8"/>
          <w:sz w:val="24"/>
          <w:szCs w:val="24"/>
          <w:highlight w:val="none"/>
        </w:rPr>
        <w:t>赛项归属产业：加工制造类</w:t>
      </w:r>
    </w:p>
    <w:p>
      <w:pPr>
        <w:keepNext w:val="0"/>
        <w:keepLines w:val="0"/>
        <w:pageBreakBefore w:val="0"/>
        <w:kinsoku/>
        <w:wordWrap/>
        <w:overflowPunct/>
        <w:topLinePunct w:val="0"/>
        <w:autoSpaceDE/>
        <w:autoSpaceDN/>
        <w:bidi w:val="0"/>
        <w:snapToGrid w:val="0"/>
        <w:spacing w:line="360" w:lineRule="auto"/>
        <w:ind w:firstLine="453" w:firstLineChars="189"/>
        <w:outlineLvl w:val="9"/>
        <w:rPr>
          <w:rFonts w:ascii="黑体" w:hAnsi="黑体" w:eastAsia="黑体"/>
          <w:spacing w:val="-1"/>
          <w:sz w:val="24"/>
          <w:szCs w:val="24"/>
          <w:highlight w:val="none"/>
        </w:rPr>
      </w:pPr>
      <w:r>
        <w:rPr>
          <w:rFonts w:hint="eastAsia" w:ascii="黑体" w:hAnsi="黑体" w:eastAsia="黑体"/>
          <w:sz w:val="24"/>
          <w:szCs w:val="24"/>
          <w:highlight w:val="none"/>
        </w:rPr>
        <w:t>二、</w:t>
      </w:r>
      <w:r>
        <w:rPr>
          <w:rFonts w:hint="eastAsia" w:ascii="黑体" w:hAnsi="黑体" w:eastAsia="黑体"/>
          <w:spacing w:val="-1"/>
          <w:sz w:val="24"/>
          <w:szCs w:val="24"/>
          <w:highlight w:val="none"/>
        </w:rPr>
        <w:t>竞赛目的</w:t>
      </w:r>
    </w:p>
    <w:p>
      <w:pPr>
        <w:keepNext w:val="0"/>
        <w:keepLines w:val="0"/>
        <w:pageBreakBefore w:val="0"/>
        <w:widowControl w:val="0"/>
        <w:kinsoku/>
        <w:wordWrap/>
        <w:overflowPunct/>
        <w:topLinePunct w:val="0"/>
        <w:autoSpaceDE/>
        <w:autoSpaceDN/>
        <w:bidi w:val="0"/>
        <w:adjustRightInd/>
        <w:snapToGrid w:val="0"/>
        <w:spacing w:line="360" w:lineRule="auto"/>
        <w:ind w:firstLine="476" w:firstLineChars="200"/>
        <w:textAlignment w:val="auto"/>
        <w:outlineLvl w:val="9"/>
        <w:rPr>
          <w:rFonts w:hint="eastAsia" w:ascii="仿宋_GB2312" w:eastAsia="仿宋_GB2312"/>
          <w:spacing w:val="-1"/>
          <w:sz w:val="24"/>
          <w:szCs w:val="24"/>
          <w:highlight w:val="none"/>
        </w:rPr>
      </w:pPr>
      <w:r>
        <w:rPr>
          <w:rFonts w:hint="eastAsia" w:ascii="仿宋_GB2312" w:eastAsia="仿宋_GB2312"/>
          <w:spacing w:val="-1"/>
          <w:sz w:val="24"/>
          <w:szCs w:val="24"/>
          <w:highlight w:val="none"/>
        </w:rPr>
        <w:t>赛项引领了中职院校相关专业人才培养、专业建设、课程改革。吸收了制冷行业发展的前沿技术</w:t>
      </w:r>
      <w:r>
        <w:rPr>
          <w:rFonts w:hint="eastAsia" w:ascii="仿宋_GB2312" w:eastAsia="仿宋_GB2312"/>
          <w:color w:val="auto"/>
          <w:spacing w:val="-1"/>
          <w:sz w:val="24"/>
          <w:szCs w:val="24"/>
          <w:highlight w:val="none"/>
        </w:rPr>
        <w:t>，</w:t>
      </w:r>
      <w:r>
        <w:rPr>
          <w:rFonts w:hint="eastAsia" w:ascii="仿宋_GB2312" w:eastAsia="仿宋_GB2312"/>
          <w:spacing w:val="-1"/>
          <w:sz w:val="24"/>
          <w:szCs w:val="24"/>
          <w:highlight w:val="none"/>
        </w:rPr>
        <w:t>反映了最新的职业技能要求和行业对技能型人才的需求，也赋予了专业教学新的内涵，起到了示范教学的作用。同时技能大赛挖掘了学生的潜力，开阔了教师的视野，促进了“双师型”教师队伍的建设，提升了实训基地建设水准。通过汲取技能大赛内容和标准对原有教学项目进行改革，提炼、转变为教学项目，不断补充和完善项目教学，推进竞赛内容的普及化教育。 </w:t>
      </w:r>
    </w:p>
    <w:p>
      <w:pPr>
        <w:keepNext w:val="0"/>
        <w:keepLines w:val="0"/>
        <w:pageBreakBefore w:val="0"/>
        <w:widowControl w:val="0"/>
        <w:kinsoku/>
        <w:wordWrap/>
        <w:overflowPunct/>
        <w:topLinePunct w:val="0"/>
        <w:autoSpaceDE/>
        <w:autoSpaceDN/>
        <w:bidi w:val="0"/>
        <w:adjustRightInd/>
        <w:snapToGrid w:val="0"/>
        <w:spacing w:line="360" w:lineRule="auto"/>
        <w:ind w:firstLine="476" w:firstLineChars="200"/>
        <w:textAlignment w:val="auto"/>
        <w:outlineLvl w:val="9"/>
        <w:rPr>
          <w:rFonts w:hint="eastAsia" w:ascii="仿宋_GB2312" w:eastAsia="仿宋_GB2312"/>
          <w:spacing w:val="-1"/>
          <w:sz w:val="24"/>
          <w:szCs w:val="24"/>
          <w:highlight w:val="none"/>
        </w:rPr>
      </w:pPr>
      <w:r>
        <w:rPr>
          <w:rFonts w:hint="eastAsia" w:ascii="仿宋_GB2312" w:eastAsia="仿宋_GB2312"/>
          <w:spacing w:val="-1"/>
          <w:sz w:val="24"/>
          <w:szCs w:val="24"/>
          <w:highlight w:val="none"/>
        </w:rPr>
        <w:t>赛项促进了相关专业校企合作和产业发展，深化了产教融合，提升了校企合作水平。赛项秉承以职业教育为社会经济建设和技术进步提供技术支持和人才贡献的理念，根据制冷行业岗位技能需求，结合制冷专业技能，融入企业生产实际项目，综合考虑设置比赛环节及内容，引进企业先进设备支持技能竞赛，用企业标准引导技能竞赛考核标准，促使职业教育满足企业技能型人才的需求，进一步推进深层次的工学结合和顶岗实习，从而达到规范职业教育实践技能教学的目的。</w:t>
      </w:r>
    </w:p>
    <w:p>
      <w:pPr>
        <w:keepNext w:val="0"/>
        <w:keepLines w:val="0"/>
        <w:pageBreakBefore w:val="0"/>
        <w:widowControl w:val="0"/>
        <w:kinsoku/>
        <w:wordWrap/>
        <w:overflowPunct/>
        <w:topLinePunct w:val="0"/>
        <w:autoSpaceDE/>
        <w:autoSpaceDN/>
        <w:bidi w:val="0"/>
        <w:adjustRightInd/>
        <w:snapToGrid w:val="0"/>
        <w:spacing w:line="360" w:lineRule="auto"/>
        <w:ind w:firstLine="476" w:firstLineChars="200"/>
        <w:textAlignment w:val="auto"/>
        <w:outlineLvl w:val="9"/>
        <w:rPr>
          <w:rFonts w:ascii="仿宋_GB2312" w:eastAsia="仿宋_GB2312"/>
          <w:spacing w:val="-9"/>
          <w:sz w:val="24"/>
          <w:szCs w:val="24"/>
          <w:highlight w:val="none"/>
        </w:rPr>
      </w:pPr>
      <w:r>
        <w:rPr>
          <w:rFonts w:hint="eastAsia" w:ascii="仿宋_GB2312" w:eastAsia="仿宋_GB2312"/>
          <w:spacing w:val="-1"/>
          <w:sz w:val="24"/>
          <w:szCs w:val="24"/>
          <w:highlight w:val="none"/>
        </w:rPr>
        <w:t>赛项展示了职教成果与师生风貌。通过竞赛，向社会展示了中职院校的教学改革成果，展示了中职院校师生在制冷技术方面的水平和精神面貌，培养了学生系统安装与调试、电路连接、系统与电路故障排除、工程实施、职业素养、交流沟通等制冷专业知识和技能的综合运用能力，检验了职业教育质量、办学水平和基于工作过程的质量、效率、成本、安全、环保意识的教学成效，进一步提高了人才培养质量</w:t>
      </w:r>
      <w:r>
        <w:rPr>
          <w:rFonts w:hint="eastAsia" w:ascii="仿宋_GB2312" w:eastAsia="仿宋_GB2312"/>
          <w:spacing w:val="-9"/>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outlineLvl w:val="9"/>
        <w:rPr>
          <w:rFonts w:ascii="黑体" w:hAnsi="黑体" w:eastAsia="黑体"/>
          <w:spacing w:val="-7"/>
          <w:sz w:val="24"/>
          <w:szCs w:val="24"/>
          <w:highlight w:val="none"/>
        </w:rPr>
      </w:pPr>
      <w:r>
        <w:rPr>
          <w:rFonts w:hint="eastAsia" w:ascii="黑体" w:hAnsi="黑体" w:eastAsia="黑体"/>
          <w:sz w:val="24"/>
          <w:szCs w:val="24"/>
          <w:highlight w:val="none"/>
        </w:rPr>
        <w:t>三</w:t>
      </w:r>
      <w:r>
        <w:rPr>
          <w:rFonts w:hint="eastAsia" w:ascii="黑体" w:hAnsi="黑体" w:eastAsia="黑体"/>
          <w:spacing w:val="-22"/>
          <w:sz w:val="24"/>
          <w:szCs w:val="24"/>
          <w:highlight w:val="none"/>
        </w:rPr>
        <w:t>、</w:t>
      </w:r>
      <w:r>
        <w:rPr>
          <w:rFonts w:hint="eastAsia" w:ascii="黑体" w:hAnsi="黑体" w:eastAsia="黑体"/>
          <w:spacing w:val="-7"/>
          <w:sz w:val="24"/>
          <w:szCs w:val="24"/>
          <w:highlight w:val="none"/>
        </w:rPr>
        <w:t>竞赛内容</w:t>
      </w:r>
    </w:p>
    <w:p>
      <w:pPr>
        <w:keepNext w:val="0"/>
        <w:keepLines w:val="0"/>
        <w:pageBreakBefore w:val="0"/>
        <w:widowControl w:val="0"/>
        <w:kinsoku/>
        <w:wordWrap/>
        <w:overflowPunct/>
        <w:topLinePunct w:val="0"/>
        <w:autoSpaceDE/>
        <w:autoSpaceDN/>
        <w:bidi w:val="0"/>
        <w:adjustRightInd/>
        <w:snapToGrid w:val="0"/>
        <w:spacing w:line="360" w:lineRule="auto"/>
        <w:ind w:firstLine="476" w:firstLineChars="200"/>
        <w:textAlignment w:val="auto"/>
        <w:outlineLvl w:val="9"/>
        <w:rPr>
          <w:rFonts w:hint="eastAsia" w:ascii="仿宋_GB2312" w:eastAsia="仿宋_GB2312"/>
          <w:spacing w:val="-1"/>
          <w:sz w:val="24"/>
          <w:szCs w:val="24"/>
          <w:highlight w:val="none"/>
        </w:rPr>
      </w:pPr>
      <w:r>
        <w:rPr>
          <w:rFonts w:hint="eastAsia" w:ascii="仿宋_GB2312" w:eastAsia="仿宋_GB2312"/>
          <w:spacing w:val="-1"/>
          <w:sz w:val="24"/>
          <w:szCs w:val="24"/>
          <w:highlight w:val="none"/>
        </w:rPr>
        <w:t>竞赛赛题总分为100分，完成总时间为</w:t>
      </w:r>
      <w:r>
        <w:rPr>
          <w:rFonts w:hint="eastAsia" w:ascii="仿宋_GB2312" w:eastAsia="仿宋_GB2312"/>
          <w:spacing w:val="-1"/>
          <w:sz w:val="24"/>
          <w:szCs w:val="24"/>
          <w:highlight w:val="none"/>
          <w:lang w:val="en-US" w:eastAsia="zh-CN"/>
        </w:rPr>
        <w:t>36</w:t>
      </w:r>
      <w:r>
        <w:rPr>
          <w:rFonts w:hint="eastAsia" w:ascii="仿宋_GB2312" w:eastAsia="仿宋_GB2312"/>
          <w:spacing w:val="-1"/>
          <w:sz w:val="24"/>
          <w:szCs w:val="24"/>
          <w:highlight w:val="none"/>
        </w:rPr>
        <w:t>0分钟。</w:t>
      </w:r>
    </w:p>
    <w:p>
      <w:pPr>
        <w:keepNext w:val="0"/>
        <w:keepLines w:val="0"/>
        <w:pageBreakBefore w:val="0"/>
        <w:widowControl w:val="0"/>
        <w:kinsoku/>
        <w:wordWrap/>
        <w:overflowPunct/>
        <w:topLinePunct w:val="0"/>
        <w:autoSpaceDE/>
        <w:autoSpaceDN/>
        <w:bidi w:val="0"/>
        <w:adjustRightInd/>
        <w:snapToGrid w:val="0"/>
        <w:spacing w:line="360" w:lineRule="auto"/>
        <w:ind w:firstLine="476" w:firstLineChars="200"/>
        <w:textAlignment w:val="auto"/>
        <w:outlineLvl w:val="9"/>
        <w:rPr>
          <w:rFonts w:hint="eastAsia" w:ascii="仿宋_GB2312" w:eastAsia="仿宋_GB2312"/>
          <w:spacing w:val="-1"/>
          <w:sz w:val="24"/>
          <w:szCs w:val="24"/>
          <w:highlight w:val="none"/>
        </w:rPr>
      </w:pPr>
      <w:r>
        <w:rPr>
          <w:rFonts w:hint="eastAsia" w:ascii="仿宋_GB2312" w:eastAsia="仿宋_GB2312"/>
          <w:spacing w:val="-1"/>
          <w:sz w:val="24"/>
          <w:szCs w:val="24"/>
          <w:highlight w:val="none"/>
        </w:rPr>
        <w:t>竞赛内容主要以</w:t>
      </w:r>
      <w:r>
        <w:rPr>
          <w:rFonts w:hint="eastAsia" w:ascii="仿宋_GB2312" w:eastAsia="仿宋_GB2312"/>
          <w:spacing w:val="-1"/>
          <w:sz w:val="24"/>
          <w:szCs w:val="24"/>
          <w:highlight w:val="none"/>
          <w:lang w:val="en-US" w:eastAsia="zh-CN"/>
        </w:rPr>
        <w:t>制冷技术实训台和空调设备实训台</w:t>
      </w:r>
      <w:r>
        <w:rPr>
          <w:rFonts w:hint="eastAsia" w:ascii="仿宋_GB2312" w:eastAsia="仿宋_GB2312"/>
          <w:spacing w:val="-1"/>
          <w:sz w:val="24"/>
          <w:szCs w:val="24"/>
          <w:highlight w:val="none"/>
        </w:rPr>
        <w:t>为载体，对应职业岗位中制冷设备的安装、调试、运行与维护、维修等相关工作内容，以生产工序、生产流程、维修工艺为过程，涵盖制冷系统管路设计与制作、设备组装、系统加压检测、抽真空、充注制冷剂及调试工况等内容。完成以下工作任务：</w:t>
      </w:r>
    </w:p>
    <w:p>
      <w:pPr>
        <w:keepNext w:val="0"/>
        <w:keepLines w:val="0"/>
        <w:pageBreakBefore w:val="0"/>
        <w:widowControl w:val="0"/>
        <w:kinsoku/>
        <w:wordWrap/>
        <w:overflowPunct/>
        <w:topLinePunct w:val="0"/>
        <w:autoSpaceDE/>
        <w:autoSpaceDN/>
        <w:bidi w:val="0"/>
        <w:adjustRightInd/>
        <w:snapToGrid w:val="0"/>
        <w:spacing w:line="360" w:lineRule="auto"/>
        <w:ind w:firstLine="476" w:firstLineChars="200"/>
        <w:textAlignment w:val="auto"/>
        <w:outlineLvl w:val="9"/>
        <w:rPr>
          <w:rFonts w:hint="eastAsia" w:ascii="仿宋_GB2312" w:eastAsia="仿宋_GB2312"/>
          <w:spacing w:val="-1"/>
          <w:sz w:val="24"/>
          <w:szCs w:val="24"/>
          <w:highlight w:val="none"/>
          <w:lang w:eastAsia="zh-CN"/>
        </w:rPr>
      </w:pPr>
      <w:r>
        <w:rPr>
          <w:rFonts w:hint="eastAsia" w:ascii="仿宋_GB2312" w:eastAsia="仿宋_GB2312"/>
          <w:spacing w:val="-1"/>
          <w:sz w:val="24"/>
          <w:szCs w:val="24"/>
          <w:highlight w:val="none"/>
        </w:rPr>
        <w:t>模块 A</w:t>
      </w:r>
      <w:r>
        <w:rPr>
          <w:rFonts w:hint="eastAsia" w:ascii="仿宋_GB2312" w:eastAsia="仿宋_GB2312"/>
          <w:spacing w:val="-1"/>
          <w:sz w:val="24"/>
          <w:szCs w:val="24"/>
          <w:highlight w:val="none"/>
          <w:lang w:eastAsia="zh-CN"/>
        </w:rPr>
        <w:t>：</w:t>
      </w:r>
      <w:r>
        <w:rPr>
          <w:rFonts w:hint="eastAsia" w:ascii="仿宋_GB2312" w:eastAsia="仿宋_GB2312"/>
          <w:spacing w:val="-1"/>
          <w:sz w:val="24"/>
          <w:szCs w:val="24"/>
          <w:highlight w:val="none"/>
        </w:rPr>
        <w:t>制冷组件制作</w:t>
      </w:r>
      <w:r>
        <w:rPr>
          <w:rFonts w:hint="eastAsia" w:ascii="仿宋_GB2312" w:eastAsia="仿宋_GB2312"/>
          <w:spacing w:val="-1"/>
          <w:sz w:val="24"/>
          <w:szCs w:val="24"/>
          <w:highlight w:val="none"/>
          <w:lang w:eastAsia="zh-CN"/>
        </w:rPr>
        <w:t>（</w:t>
      </w:r>
      <w:r>
        <w:rPr>
          <w:rFonts w:hint="eastAsia" w:ascii="仿宋_GB2312" w:eastAsia="仿宋_GB2312"/>
          <w:spacing w:val="-1"/>
          <w:sz w:val="24"/>
          <w:szCs w:val="24"/>
          <w:highlight w:val="none"/>
          <w:lang w:val="en-US" w:eastAsia="zh-CN"/>
        </w:rPr>
        <w:t>15%</w:t>
      </w:r>
      <w:r>
        <w:rPr>
          <w:rFonts w:hint="eastAsia" w:ascii="仿宋_GB2312" w:eastAsia="仿宋_GB2312"/>
          <w:spacing w:val="-1"/>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76" w:firstLineChars="200"/>
        <w:textAlignment w:val="auto"/>
        <w:outlineLvl w:val="9"/>
        <w:rPr>
          <w:rFonts w:hint="eastAsia" w:ascii="仿宋_GB2312" w:eastAsia="仿宋_GB2312"/>
          <w:spacing w:val="-1"/>
          <w:sz w:val="24"/>
          <w:szCs w:val="24"/>
          <w:highlight w:val="none"/>
        </w:rPr>
      </w:pPr>
      <w:r>
        <w:rPr>
          <w:rFonts w:hint="eastAsia" w:ascii="仿宋_GB2312" w:eastAsia="仿宋_GB2312"/>
          <w:spacing w:val="-1"/>
          <w:sz w:val="24"/>
          <w:szCs w:val="24"/>
          <w:highlight w:val="none"/>
        </w:rPr>
        <w:t>选手须根据赛场提供的设备、</w:t>
      </w:r>
      <w:r>
        <w:rPr>
          <w:rFonts w:hint="eastAsia" w:ascii="仿宋_GB2312" w:eastAsia="仿宋_GB2312"/>
          <w:spacing w:val="-1"/>
          <w:sz w:val="24"/>
          <w:szCs w:val="24"/>
          <w:highlight w:val="none"/>
          <w:lang w:val="en-US" w:eastAsia="zh-CN"/>
        </w:rPr>
        <w:t>工具、</w:t>
      </w:r>
      <w:r>
        <w:rPr>
          <w:rFonts w:hint="eastAsia" w:ascii="仿宋_GB2312" w:eastAsia="仿宋_GB2312"/>
          <w:spacing w:val="-1"/>
          <w:sz w:val="24"/>
          <w:szCs w:val="24"/>
          <w:highlight w:val="none"/>
        </w:rPr>
        <w:t>零部件、材料及相关图纸资料，</w:t>
      </w:r>
      <w:r>
        <w:rPr>
          <w:rFonts w:hint="eastAsia" w:ascii="仿宋_GB2312" w:eastAsia="仿宋_GB2312"/>
          <w:spacing w:val="-1"/>
          <w:sz w:val="24"/>
          <w:szCs w:val="24"/>
          <w:highlight w:val="none"/>
          <w:lang w:val="en-US" w:eastAsia="zh-CN"/>
        </w:rPr>
        <w:t>按照</w:t>
      </w:r>
      <w:r>
        <w:rPr>
          <w:rFonts w:hint="eastAsia" w:ascii="仿宋_GB2312" w:eastAsia="仿宋_GB2312"/>
          <w:spacing w:val="-1"/>
          <w:sz w:val="24"/>
          <w:szCs w:val="24"/>
          <w:highlight w:val="none"/>
        </w:rPr>
        <w:t>技术要求以及相关工程规范制作和安装制冷组件，制作制冷组件 2 个；制作好的组件将作为必要的部件被选手使用在模块 B 的制冷系统安装中。</w:t>
      </w:r>
    </w:p>
    <w:p>
      <w:pPr>
        <w:keepNext w:val="0"/>
        <w:keepLines w:val="0"/>
        <w:pageBreakBefore w:val="0"/>
        <w:widowControl w:val="0"/>
        <w:kinsoku/>
        <w:wordWrap/>
        <w:overflowPunct/>
        <w:topLinePunct w:val="0"/>
        <w:autoSpaceDE/>
        <w:autoSpaceDN/>
        <w:bidi w:val="0"/>
        <w:adjustRightInd/>
        <w:snapToGrid w:val="0"/>
        <w:spacing w:line="360" w:lineRule="auto"/>
        <w:ind w:firstLine="476" w:firstLineChars="200"/>
        <w:textAlignment w:val="auto"/>
        <w:outlineLvl w:val="9"/>
        <w:rPr>
          <w:rFonts w:hint="eastAsia" w:ascii="仿宋_GB2312" w:eastAsia="仿宋_GB2312"/>
          <w:spacing w:val="-1"/>
          <w:sz w:val="24"/>
          <w:szCs w:val="24"/>
          <w:highlight w:val="none"/>
          <w:lang w:eastAsia="zh-CN"/>
        </w:rPr>
      </w:pPr>
      <w:r>
        <w:rPr>
          <w:rFonts w:hint="eastAsia" w:ascii="仿宋_GB2312" w:eastAsia="仿宋_GB2312"/>
          <w:spacing w:val="-1"/>
          <w:sz w:val="24"/>
          <w:szCs w:val="24"/>
          <w:highlight w:val="none"/>
        </w:rPr>
        <w:t>模块 B</w:t>
      </w:r>
      <w:r>
        <w:rPr>
          <w:rFonts w:hint="eastAsia" w:ascii="仿宋_GB2312" w:eastAsia="仿宋_GB2312"/>
          <w:spacing w:val="-1"/>
          <w:sz w:val="24"/>
          <w:szCs w:val="24"/>
          <w:highlight w:val="none"/>
          <w:lang w:eastAsia="zh-CN"/>
        </w:rPr>
        <w:t>：</w:t>
      </w:r>
      <w:r>
        <w:rPr>
          <w:rFonts w:hint="eastAsia" w:ascii="仿宋_GB2312" w:eastAsia="仿宋_GB2312"/>
          <w:spacing w:val="-1"/>
          <w:sz w:val="24"/>
          <w:szCs w:val="24"/>
          <w:highlight w:val="none"/>
        </w:rPr>
        <w:t>制冷设备安装、测试及调试</w:t>
      </w:r>
      <w:r>
        <w:rPr>
          <w:rFonts w:hint="eastAsia" w:ascii="仿宋_GB2312" w:eastAsia="仿宋_GB2312"/>
          <w:spacing w:val="-1"/>
          <w:sz w:val="24"/>
          <w:szCs w:val="24"/>
          <w:highlight w:val="none"/>
          <w:lang w:eastAsia="zh-CN"/>
        </w:rPr>
        <w:t>（</w:t>
      </w:r>
      <w:r>
        <w:rPr>
          <w:rFonts w:hint="eastAsia" w:ascii="仿宋_GB2312" w:eastAsia="仿宋_GB2312"/>
          <w:spacing w:val="-1"/>
          <w:sz w:val="24"/>
          <w:szCs w:val="24"/>
          <w:highlight w:val="none"/>
          <w:lang w:val="en-US" w:eastAsia="zh-CN"/>
        </w:rPr>
        <w:t>55%</w:t>
      </w:r>
      <w:r>
        <w:rPr>
          <w:rFonts w:hint="eastAsia" w:ascii="仿宋_GB2312" w:eastAsia="仿宋_GB2312"/>
          <w:spacing w:val="-1"/>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76" w:firstLineChars="200"/>
        <w:textAlignment w:val="auto"/>
        <w:outlineLvl w:val="9"/>
        <w:rPr>
          <w:rFonts w:hint="eastAsia" w:ascii="仿宋_GB2312" w:eastAsia="仿宋_GB2312"/>
          <w:spacing w:val="-1"/>
          <w:sz w:val="24"/>
          <w:szCs w:val="24"/>
          <w:highlight w:val="none"/>
        </w:rPr>
      </w:pPr>
      <w:r>
        <w:rPr>
          <w:rFonts w:hint="eastAsia" w:ascii="仿宋_GB2312" w:eastAsia="仿宋_GB2312"/>
          <w:spacing w:val="-1"/>
          <w:sz w:val="24"/>
          <w:szCs w:val="24"/>
          <w:highlight w:val="none"/>
        </w:rPr>
        <w:t>选手须根据赛场提供的设备、</w:t>
      </w:r>
      <w:r>
        <w:rPr>
          <w:rFonts w:hint="eastAsia" w:ascii="仿宋_GB2312" w:eastAsia="仿宋_GB2312"/>
          <w:spacing w:val="-1"/>
          <w:sz w:val="24"/>
          <w:szCs w:val="24"/>
          <w:highlight w:val="none"/>
          <w:lang w:val="en-US" w:eastAsia="zh-CN"/>
        </w:rPr>
        <w:t>工具、</w:t>
      </w:r>
      <w:r>
        <w:rPr>
          <w:rFonts w:hint="eastAsia" w:ascii="仿宋_GB2312" w:eastAsia="仿宋_GB2312"/>
          <w:spacing w:val="-1"/>
          <w:sz w:val="24"/>
          <w:szCs w:val="24"/>
          <w:highlight w:val="none"/>
        </w:rPr>
        <w:t>零部件、材料及相关图纸资料，</w:t>
      </w:r>
      <w:r>
        <w:rPr>
          <w:rFonts w:hint="eastAsia" w:ascii="仿宋_GB2312" w:eastAsia="仿宋_GB2312"/>
          <w:spacing w:val="-1"/>
          <w:sz w:val="24"/>
          <w:szCs w:val="24"/>
          <w:highlight w:val="none"/>
          <w:lang w:val="en-US" w:eastAsia="zh-CN"/>
        </w:rPr>
        <w:t>按照</w:t>
      </w:r>
      <w:r>
        <w:rPr>
          <w:rFonts w:hint="eastAsia" w:ascii="仿宋_GB2312" w:eastAsia="仿宋_GB2312"/>
          <w:spacing w:val="-1"/>
          <w:sz w:val="24"/>
          <w:szCs w:val="24"/>
          <w:highlight w:val="none"/>
        </w:rPr>
        <w:t>技术要求以及相关工程规范完成一套制冷设备的制冷系统制作与安装、电控系统接线、系统测试以及系统调试等一系列工作。</w:t>
      </w:r>
    </w:p>
    <w:p>
      <w:pPr>
        <w:keepNext w:val="0"/>
        <w:keepLines w:val="0"/>
        <w:pageBreakBefore w:val="0"/>
        <w:widowControl w:val="0"/>
        <w:kinsoku/>
        <w:wordWrap/>
        <w:overflowPunct/>
        <w:topLinePunct w:val="0"/>
        <w:autoSpaceDE/>
        <w:autoSpaceDN/>
        <w:bidi w:val="0"/>
        <w:adjustRightInd/>
        <w:snapToGrid w:val="0"/>
        <w:spacing w:line="360" w:lineRule="auto"/>
        <w:ind w:firstLine="476" w:firstLineChars="200"/>
        <w:textAlignment w:val="auto"/>
        <w:outlineLvl w:val="9"/>
        <w:rPr>
          <w:rFonts w:hint="eastAsia" w:ascii="仿宋_GB2312" w:eastAsia="仿宋_GB2312"/>
          <w:spacing w:val="-1"/>
          <w:sz w:val="24"/>
          <w:szCs w:val="24"/>
          <w:highlight w:val="none"/>
          <w:lang w:eastAsia="zh-CN"/>
        </w:rPr>
      </w:pPr>
      <w:r>
        <w:rPr>
          <w:rFonts w:hint="eastAsia" w:ascii="仿宋_GB2312" w:eastAsia="仿宋_GB2312"/>
          <w:spacing w:val="-1"/>
          <w:sz w:val="24"/>
          <w:szCs w:val="24"/>
          <w:highlight w:val="none"/>
        </w:rPr>
        <w:t>模块 C</w:t>
      </w:r>
      <w:r>
        <w:rPr>
          <w:rFonts w:hint="eastAsia" w:ascii="仿宋_GB2312" w:eastAsia="仿宋_GB2312"/>
          <w:spacing w:val="-1"/>
          <w:sz w:val="24"/>
          <w:szCs w:val="24"/>
          <w:highlight w:val="none"/>
          <w:lang w:eastAsia="zh-CN"/>
        </w:rPr>
        <w:t>：</w:t>
      </w:r>
      <w:r>
        <w:rPr>
          <w:rFonts w:hint="eastAsia" w:ascii="仿宋_GB2312" w:eastAsia="仿宋_GB2312"/>
          <w:spacing w:val="-1"/>
          <w:sz w:val="24"/>
          <w:szCs w:val="24"/>
          <w:highlight w:val="none"/>
        </w:rPr>
        <w:t>空调故障排查、修复、测试及调试</w:t>
      </w:r>
      <w:r>
        <w:rPr>
          <w:rFonts w:hint="eastAsia" w:ascii="仿宋_GB2312" w:eastAsia="仿宋_GB2312"/>
          <w:spacing w:val="-1"/>
          <w:sz w:val="24"/>
          <w:szCs w:val="24"/>
          <w:highlight w:val="none"/>
          <w:lang w:eastAsia="zh-CN"/>
        </w:rPr>
        <w:t>（</w:t>
      </w:r>
      <w:r>
        <w:rPr>
          <w:rFonts w:hint="eastAsia" w:ascii="仿宋_GB2312" w:eastAsia="仿宋_GB2312"/>
          <w:spacing w:val="-1"/>
          <w:sz w:val="24"/>
          <w:szCs w:val="24"/>
          <w:highlight w:val="none"/>
          <w:lang w:val="en-US" w:eastAsia="zh-CN"/>
        </w:rPr>
        <w:t>25%）</w:t>
      </w:r>
    </w:p>
    <w:p>
      <w:pPr>
        <w:keepNext w:val="0"/>
        <w:keepLines w:val="0"/>
        <w:pageBreakBefore w:val="0"/>
        <w:widowControl w:val="0"/>
        <w:kinsoku/>
        <w:wordWrap/>
        <w:overflowPunct/>
        <w:topLinePunct w:val="0"/>
        <w:autoSpaceDE/>
        <w:autoSpaceDN/>
        <w:bidi w:val="0"/>
        <w:adjustRightInd/>
        <w:snapToGrid w:val="0"/>
        <w:spacing w:line="360" w:lineRule="auto"/>
        <w:ind w:firstLine="476" w:firstLineChars="200"/>
        <w:textAlignment w:val="auto"/>
        <w:outlineLvl w:val="9"/>
        <w:rPr>
          <w:rFonts w:hint="eastAsia" w:ascii="仿宋_GB2312" w:eastAsia="仿宋_GB2312"/>
          <w:spacing w:val="-1"/>
          <w:sz w:val="24"/>
          <w:szCs w:val="24"/>
          <w:highlight w:val="none"/>
        </w:rPr>
      </w:pPr>
      <w:r>
        <w:rPr>
          <w:rFonts w:hint="eastAsia" w:ascii="仿宋_GB2312" w:eastAsia="仿宋_GB2312"/>
          <w:spacing w:val="-1"/>
          <w:sz w:val="24"/>
          <w:szCs w:val="24"/>
          <w:highlight w:val="none"/>
        </w:rPr>
        <w:t>选手根据赛场提供的设备、</w:t>
      </w:r>
      <w:r>
        <w:rPr>
          <w:rFonts w:hint="eastAsia" w:ascii="仿宋_GB2312" w:eastAsia="仿宋_GB2312"/>
          <w:spacing w:val="-1"/>
          <w:sz w:val="24"/>
          <w:szCs w:val="24"/>
          <w:highlight w:val="none"/>
          <w:lang w:val="en-US" w:eastAsia="zh-CN"/>
        </w:rPr>
        <w:t>工具、</w:t>
      </w:r>
      <w:r>
        <w:rPr>
          <w:rFonts w:hint="eastAsia" w:ascii="仿宋_GB2312" w:eastAsia="仿宋_GB2312"/>
          <w:spacing w:val="-1"/>
          <w:sz w:val="24"/>
          <w:szCs w:val="24"/>
          <w:highlight w:val="none"/>
        </w:rPr>
        <w:t>零部件、材料及相关图纸资料，</w:t>
      </w:r>
      <w:r>
        <w:rPr>
          <w:rFonts w:hint="eastAsia" w:ascii="仿宋_GB2312" w:eastAsia="仿宋_GB2312"/>
          <w:spacing w:val="-1"/>
          <w:sz w:val="24"/>
          <w:szCs w:val="24"/>
          <w:highlight w:val="none"/>
          <w:lang w:val="en-US" w:eastAsia="zh-CN"/>
        </w:rPr>
        <w:t>按照</w:t>
      </w:r>
      <w:r>
        <w:rPr>
          <w:rFonts w:hint="eastAsia" w:ascii="仿宋_GB2312" w:eastAsia="仿宋_GB2312"/>
          <w:spacing w:val="-1"/>
          <w:sz w:val="24"/>
          <w:szCs w:val="24"/>
          <w:highlight w:val="none"/>
        </w:rPr>
        <w:t>技术要求以及相关工程规范在一台一拖一风管机变频空调设备上完成电控系统故障、制冷系统故障的排查工作，并进行修复、测试及调试的一系列</w:t>
      </w:r>
      <w:r>
        <w:rPr>
          <w:rFonts w:hint="eastAsia" w:ascii="仿宋_GB2312" w:eastAsia="仿宋_GB2312"/>
          <w:spacing w:val="-1"/>
          <w:sz w:val="24"/>
          <w:szCs w:val="24"/>
          <w:highlight w:val="none"/>
          <w:lang w:val="en-US" w:eastAsia="zh-CN"/>
        </w:rPr>
        <w:t>工作</w:t>
      </w:r>
      <w:r>
        <w:rPr>
          <w:rFonts w:hint="eastAsia" w:ascii="仿宋_GB2312" w:eastAsia="仿宋_GB2312"/>
          <w:spacing w:val="-1"/>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76" w:firstLineChars="200"/>
        <w:textAlignment w:val="auto"/>
        <w:outlineLvl w:val="9"/>
        <w:rPr>
          <w:rFonts w:hint="eastAsia" w:ascii="仿宋_GB2312" w:eastAsia="仿宋_GB2312"/>
          <w:spacing w:val="-1"/>
          <w:sz w:val="24"/>
          <w:szCs w:val="24"/>
          <w:highlight w:val="none"/>
          <w:lang w:eastAsia="zh-CN"/>
        </w:rPr>
      </w:pPr>
      <w:r>
        <w:rPr>
          <w:rFonts w:hint="eastAsia" w:ascii="仿宋_GB2312" w:eastAsia="仿宋_GB2312"/>
          <w:spacing w:val="-1"/>
          <w:sz w:val="24"/>
          <w:szCs w:val="24"/>
          <w:highlight w:val="none"/>
        </w:rPr>
        <w:t>模块 D</w:t>
      </w:r>
      <w:r>
        <w:rPr>
          <w:rFonts w:hint="eastAsia" w:ascii="仿宋_GB2312" w:eastAsia="仿宋_GB2312"/>
          <w:spacing w:val="-1"/>
          <w:sz w:val="24"/>
          <w:szCs w:val="24"/>
          <w:highlight w:val="none"/>
          <w:lang w:eastAsia="zh-CN"/>
        </w:rPr>
        <w:t>：</w:t>
      </w:r>
      <w:r>
        <w:rPr>
          <w:rFonts w:hint="eastAsia" w:ascii="仿宋_GB2312" w:eastAsia="仿宋_GB2312"/>
          <w:spacing w:val="-1"/>
          <w:sz w:val="24"/>
          <w:szCs w:val="24"/>
          <w:highlight w:val="none"/>
        </w:rPr>
        <w:t>健康与安全（非独立模块）</w:t>
      </w:r>
      <w:r>
        <w:rPr>
          <w:rFonts w:hint="eastAsia" w:ascii="仿宋_GB2312" w:eastAsia="仿宋_GB2312"/>
          <w:spacing w:val="-1"/>
          <w:sz w:val="24"/>
          <w:szCs w:val="24"/>
          <w:highlight w:val="none"/>
          <w:lang w:eastAsia="zh-CN"/>
        </w:rPr>
        <w:t>（</w:t>
      </w:r>
      <w:r>
        <w:rPr>
          <w:rFonts w:hint="eastAsia" w:ascii="仿宋_GB2312" w:eastAsia="仿宋_GB2312"/>
          <w:spacing w:val="-1"/>
          <w:sz w:val="24"/>
          <w:szCs w:val="24"/>
          <w:highlight w:val="none"/>
          <w:lang w:val="en-US" w:eastAsia="zh-CN"/>
        </w:rPr>
        <w:t>5%</w:t>
      </w:r>
      <w:r>
        <w:rPr>
          <w:rFonts w:hint="eastAsia" w:ascii="仿宋_GB2312" w:eastAsia="仿宋_GB2312"/>
          <w:spacing w:val="-1"/>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76" w:firstLineChars="200"/>
        <w:textAlignment w:val="auto"/>
        <w:outlineLvl w:val="9"/>
        <w:rPr>
          <w:rFonts w:hint="eastAsia" w:ascii="仿宋_GB2312" w:eastAsia="仿宋_GB2312"/>
          <w:spacing w:val="-1"/>
          <w:sz w:val="24"/>
          <w:szCs w:val="24"/>
          <w:highlight w:val="none"/>
        </w:rPr>
      </w:pPr>
      <w:r>
        <w:rPr>
          <w:rFonts w:hint="eastAsia" w:ascii="仿宋_GB2312" w:eastAsia="仿宋_GB2312"/>
          <w:spacing w:val="-1"/>
          <w:sz w:val="24"/>
          <w:szCs w:val="24"/>
          <w:highlight w:val="none"/>
        </w:rPr>
        <w:t>选手根据健康与安全的技术要求以及相关工程规范进行上述模块的一系列工作。</w:t>
      </w:r>
    </w:p>
    <w:p>
      <w:pPr>
        <w:keepNext w:val="0"/>
        <w:keepLines w:val="0"/>
        <w:pageBreakBefore w:val="0"/>
        <w:kinsoku/>
        <w:wordWrap/>
        <w:overflowPunct/>
        <w:topLinePunct w:val="0"/>
        <w:autoSpaceDE/>
        <w:autoSpaceDN/>
        <w:bidi w:val="0"/>
        <w:snapToGrid w:val="0"/>
        <w:spacing w:line="360" w:lineRule="auto"/>
        <w:ind w:firstLine="453" w:firstLineChars="189"/>
        <w:outlineLvl w:val="9"/>
        <w:rPr>
          <w:rFonts w:ascii="黑体" w:hAnsi="黑体" w:eastAsia="黑体"/>
          <w:spacing w:val="-8"/>
          <w:sz w:val="24"/>
          <w:szCs w:val="24"/>
          <w:highlight w:val="none"/>
        </w:rPr>
      </w:pPr>
      <w:r>
        <w:rPr>
          <w:rFonts w:hint="eastAsia" w:ascii="黑体" w:hAnsi="黑体" w:eastAsia="黑体"/>
          <w:sz w:val="24"/>
          <w:szCs w:val="24"/>
          <w:highlight w:val="none"/>
        </w:rPr>
        <w:t>四</w:t>
      </w:r>
      <w:r>
        <w:rPr>
          <w:rFonts w:hint="eastAsia" w:ascii="黑体" w:hAnsi="黑体" w:eastAsia="黑体"/>
          <w:spacing w:val="-29"/>
          <w:sz w:val="24"/>
          <w:szCs w:val="24"/>
          <w:highlight w:val="none"/>
        </w:rPr>
        <w:t>、</w:t>
      </w:r>
      <w:r>
        <w:rPr>
          <w:rFonts w:hint="eastAsia" w:ascii="黑体" w:hAnsi="黑体" w:eastAsia="黑体"/>
          <w:spacing w:val="-8"/>
          <w:sz w:val="24"/>
          <w:szCs w:val="24"/>
          <w:highlight w:val="none"/>
        </w:rPr>
        <w:t>竞赛方式</w:t>
      </w:r>
    </w:p>
    <w:p>
      <w:pPr>
        <w:keepNext w:val="0"/>
        <w:keepLines w:val="0"/>
        <w:pageBreakBefore w:val="0"/>
        <w:kinsoku/>
        <w:wordWrap/>
        <w:overflowPunct/>
        <w:topLinePunct w:val="0"/>
        <w:autoSpaceDE/>
        <w:autoSpaceDN/>
        <w:bidi w:val="0"/>
        <w:snapToGrid w:val="0"/>
        <w:spacing w:line="360" w:lineRule="auto"/>
        <w:ind w:firstLine="425" w:firstLineChars="189"/>
        <w:outlineLvl w:val="9"/>
        <w:rPr>
          <w:rFonts w:hint="eastAsia" w:ascii="仿宋_GB2312" w:eastAsia="仿宋_GB2312"/>
          <w:b/>
          <w:bCs/>
          <w:spacing w:val="-8"/>
          <w:sz w:val="24"/>
          <w:szCs w:val="24"/>
          <w:highlight w:val="none"/>
        </w:rPr>
      </w:pPr>
      <w:r>
        <w:rPr>
          <w:rFonts w:hint="eastAsia" w:ascii="仿宋_GB2312" w:eastAsia="仿宋_GB2312"/>
          <w:b/>
          <w:bCs/>
          <w:spacing w:val="-8"/>
          <w:sz w:val="24"/>
          <w:szCs w:val="24"/>
          <w:highlight w:val="none"/>
        </w:rPr>
        <w:t>（一）竞赛方式</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32"/>
          <w:szCs w:val="32"/>
          <w:highlight w:val="none"/>
        </w:rPr>
      </w:pPr>
      <w:r>
        <w:rPr>
          <w:rFonts w:hint="eastAsia" w:ascii="仿宋_GB2312" w:eastAsia="仿宋_GB2312"/>
          <w:spacing w:val="-8"/>
          <w:sz w:val="24"/>
          <w:szCs w:val="24"/>
          <w:highlight w:val="none"/>
        </w:rPr>
        <w:t>竞赛方式为个人赛</w:t>
      </w:r>
      <w:r>
        <w:rPr>
          <w:rFonts w:hint="eastAsia" w:ascii="仿宋_GB2312" w:eastAsia="仿宋_GB2312"/>
          <w:spacing w:val="-8"/>
          <w:sz w:val="32"/>
          <w:szCs w:val="32"/>
          <w:highlight w:val="none"/>
        </w:rPr>
        <w:t>。</w:t>
      </w:r>
    </w:p>
    <w:p>
      <w:pPr>
        <w:keepNext w:val="0"/>
        <w:keepLines w:val="0"/>
        <w:pageBreakBefore w:val="0"/>
        <w:kinsoku/>
        <w:wordWrap/>
        <w:overflowPunct/>
        <w:topLinePunct w:val="0"/>
        <w:autoSpaceDE/>
        <w:autoSpaceDN/>
        <w:bidi w:val="0"/>
        <w:snapToGrid w:val="0"/>
        <w:spacing w:line="360" w:lineRule="auto"/>
        <w:ind w:firstLine="425" w:firstLineChars="189"/>
        <w:outlineLvl w:val="9"/>
        <w:rPr>
          <w:rFonts w:hint="eastAsia" w:ascii="仿宋_GB2312" w:eastAsia="仿宋_GB2312"/>
          <w:b/>
          <w:bCs/>
          <w:spacing w:val="-8"/>
          <w:sz w:val="24"/>
          <w:szCs w:val="24"/>
          <w:highlight w:val="none"/>
        </w:rPr>
      </w:pPr>
      <w:r>
        <w:rPr>
          <w:rFonts w:hint="eastAsia" w:ascii="仿宋_GB2312" w:eastAsia="仿宋_GB2312"/>
          <w:b/>
          <w:bCs/>
          <w:spacing w:val="-8"/>
          <w:sz w:val="24"/>
          <w:szCs w:val="24"/>
          <w:highlight w:val="none"/>
        </w:rPr>
        <w:t>（二）竞赛队伍组成</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lang w:eastAsia="zh-CN"/>
        </w:rPr>
      </w:pPr>
      <w:r>
        <w:rPr>
          <w:rFonts w:hint="eastAsia" w:ascii="仿宋_GB2312" w:eastAsia="仿宋_GB2312"/>
          <w:spacing w:val="-8"/>
          <w:sz w:val="24"/>
          <w:szCs w:val="24"/>
          <w:highlight w:val="none"/>
        </w:rPr>
        <w:t>以市为单位组队参赛，限报2支参赛队。</w:t>
      </w:r>
      <w:r>
        <w:rPr>
          <w:rFonts w:hint="eastAsia" w:ascii="仿宋_GB2312" w:eastAsia="仿宋_GB2312"/>
          <w:spacing w:val="-8"/>
          <w:sz w:val="24"/>
          <w:szCs w:val="24"/>
          <w:highlight w:val="none"/>
          <w:lang w:eastAsia="zh-CN"/>
        </w:rPr>
        <w:t>（</w:t>
      </w:r>
      <w:r>
        <w:rPr>
          <w:rFonts w:hint="eastAsia" w:ascii="仿宋_GB2312" w:hAnsi="宋体" w:eastAsia="仿宋_GB2312"/>
          <w:kern w:val="0"/>
          <w:sz w:val="24"/>
          <w:szCs w:val="24"/>
          <w:highlight w:val="none"/>
        </w:rPr>
        <w:t>同一学校相同项目不得超过</w:t>
      </w:r>
      <w:r>
        <w:rPr>
          <w:rFonts w:ascii="仿宋_GB2312" w:hAnsi="宋体" w:eastAsia="仿宋_GB2312"/>
          <w:kern w:val="0"/>
          <w:sz w:val="24"/>
          <w:szCs w:val="24"/>
          <w:highlight w:val="none"/>
        </w:rPr>
        <w:t>1</w:t>
      </w:r>
      <w:r>
        <w:rPr>
          <w:rFonts w:hint="eastAsia" w:ascii="仿宋_GB2312" w:hAnsi="宋体" w:eastAsia="仿宋_GB2312"/>
          <w:kern w:val="0"/>
          <w:sz w:val="24"/>
          <w:szCs w:val="24"/>
          <w:highlight w:val="none"/>
        </w:rPr>
        <w:t>人。</w:t>
      </w:r>
      <w:r>
        <w:rPr>
          <w:rFonts w:hint="eastAsia" w:ascii="仿宋_GB2312" w:hAnsi="宋体" w:eastAsia="仿宋_GB2312" w:cs="仿宋_GB2312"/>
          <w:kern w:val="0"/>
          <w:sz w:val="24"/>
          <w:szCs w:val="24"/>
          <w:highlight w:val="none"/>
        </w:rPr>
        <w:t>指导教师须为本校专兼职教师，每名选手指导教师不超过1名</w:t>
      </w:r>
      <w:r>
        <w:rPr>
          <w:rFonts w:hint="eastAsia" w:ascii="仿宋_GB2312" w:eastAsia="仿宋_GB2312"/>
          <w:spacing w:val="-8"/>
          <w:sz w:val="24"/>
          <w:szCs w:val="24"/>
          <w:highlight w:val="none"/>
          <w:lang w:eastAsia="zh-CN"/>
        </w:rPr>
        <w:t>）</w:t>
      </w:r>
    </w:p>
    <w:p>
      <w:pPr>
        <w:keepNext w:val="0"/>
        <w:keepLines w:val="0"/>
        <w:pageBreakBefore w:val="0"/>
        <w:numPr>
          <w:ilvl w:val="0"/>
          <w:numId w:val="1"/>
        </w:numPr>
        <w:kinsoku/>
        <w:wordWrap/>
        <w:overflowPunct/>
        <w:topLinePunct w:val="0"/>
        <w:autoSpaceDE/>
        <w:autoSpaceDN/>
        <w:bidi w:val="0"/>
        <w:snapToGrid w:val="0"/>
        <w:spacing w:line="360" w:lineRule="auto"/>
        <w:ind w:firstLine="425" w:firstLineChars="189"/>
        <w:outlineLvl w:val="9"/>
        <w:rPr>
          <w:rFonts w:hint="eastAsia" w:ascii="仿宋_GB2312" w:eastAsia="仿宋_GB2312"/>
          <w:b/>
          <w:bCs/>
          <w:color w:val="auto"/>
          <w:spacing w:val="-8"/>
          <w:sz w:val="24"/>
          <w:szCs w:val="24"/>
          <w:highlight w:val="none"/>
          <w:lang w:val="en-US" w:eastAsia="zh-CN"/>
        </w:rPr>
      </w:pPr>
      <w:r>
        <w:rPr>
          <w:rFonts w:hint="eastAsia" w:ascii="仿宋_GB2312" w:eastAsia="仿宋_GB2312"/>
          <w:b/>
          <w:bCs/>
          <w:color w:val="auto"/>
          <w:spacing w:val="-8"/>
          <w:sz w:val="24"/>
          <w:szCs w:val="24"/>
          <w:highlight w:val="none"/>
        </w:rPr>
        <w:t>竞赛</w:t>
      </w:r>
      <w:r>
        <w:rPr>
          <w:rFonts w:hint="eastAsia" w:ascii="仿宋_GB2312" w:eastAsia="仿宋_GB2312"/>
          <w:b/>
          <w:bCs/>
          <w:color w:val="auto"/>
          <w:spacing w:val="-8"/>
          <w:sz w:val="24"/>
          <w:szCs w:val="24"/>
          <w:highlight w:val="none"/>
          <w:lang w:val="en-US" w:eastAsia="zh-CN"/>
        </w:rPr>
        <w:t>组织机构</w:t>
      </w:r>
    </w:p>
    <w:p>
      <w:pPr>
        <w:keepNext w:val="0"/>
        <w:keepLines w:val="0"/>
        <w:pageBreakBefore w:val="0"/>
        <w:widowControl w:val="0"/>
        <w:kinsoku/>
        <w:wordWrap/>
        <w:overflowPunct/>
        <w:topLinePunct w:val="0"/>
        <w:autoSpaceDE/>
        <w:autoSpaceDN/>
        <w:bidi w:val="0"/>
        <w:adjustRightInd/>
        <w:snapToGrid w:val="0"/>
        <w:spacing w:line="360" w:lineRule="auto"/>
        <w:ind w:firstLine="476" w:firstLineChars="200"/>
        <w:textAlignment w:val="auto"/>
        <w:outlineLvl w:val="9"/>
        <w:rPr>
          <w:rFonts w:hint="eastAsia" w:ascii="仿宋_GB2312" w:eastAsia="仿宋_GB2312"/>
          <w:color w:val="auto"/>
          <w:spacing w:val="-1"/>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76" w:firstLineChars="200"/>
        <w:textAlignment w:val="auto"/>
        <w:outlineLvl w:val="9"/>
        <w:rPr>
          <w:rFonts w:hint="eastAsia" w:ascii="仿宋_GB2312" w:eastAsia="仿宋_GB2312"/>
          <w:color w:val="auto"/>
          <w:spacing w:val="-1"/>
          <w:sz w:val="24"/>
          <w:szCs w:val="24"/>
          <w:highlight w:val="none"/>
        </w:rPr>
      </w:pPr>
      <w:r>
        <w:rPr>
          <w:rFonts w:hint="eastAsia" w:ascii="仿宋_GB2312" w:eastAsia="仿宋_GB2312"/>
          <w:color w:val="auto"/>
          <w:spacing w:val="-1"/>
          <w:sz w:val="24"/>
          <w:szCs w:val="24"/>
          <w:highlight w:val="none"/>
        </w:rPr>
        <w:t>在山东省职业院校技能大赛执委会的领导下成立赛项执委会，下设专家组、裁判组、监督组、仲裁组等工作机构。</w:t>
      </w:r>
    </w:p>
    <w:p>
      <w:pPr>
        <w:keepNext w:val="0"/>
        <w:keepLines w:val="0"/>
        <w:pageBreakBefore w:val="0"/>
        <w:numPr>
          <w:ilvl w:val="0"/>
          <w:numId w:val="0"/>
        </w:numPr>
        <w:kinsoku/>
        <w:wordWrap/>
        <w:overflowPunct/>
        <w:topLinePunct w:val="0"/>
        <w:autoSpaceDE/>
        <w:autoSpaceDN/>
        <w:bidi w:val="0"/>
        <w:snapToGrid w:val="0"/>
        <w:spacing w:line="360" w:lineRule="auto"/>
        <w:ind w:firstLine="450" w:firstLineChars="200"/>
        <w:outlineLvl w:val="9"/>
        <w:rPr>
          <w:rFonts w:hint="eastAsia" w:ascii="仿宋_GB2312" w:eastAsia="仿宋_GB2312"/>
          <w:b/>
          <w:bCs/>
          <w:color w:val="auto"/>
          <w:spacing w:val="-8"/>
          <w:sz w:val="24"/>
          <w:szCs w:val="24"/>
          <w:highlight w:val="none"/>
          <w:lang w:val="en-US" w:eastAsia="zh-CN"/>
        </w:rPr>
      </w:pPr>
      <w:r>
        <w:rPr>
          <w:rFonts w:hint="eastAsia" w:ascii="仿宋_GB2312" w:eastAsia="仿宋_GB2312"/>
          <w:b/>
          <w:bCs/>
          <w:color w:val="auto"/>
          <w:spacing w:val="-8"/>
          <w:sz w:val="24"/>
          <w:szCs w:val="24"/>
          <w:highlight w:val="none"/>
          <w:lang w:eastAsia="zh-CN"/>
        </w:rPr>
        <w:t>（</w:t>
      </w:r>
      <w:r>
        <w:rPr>
          <w:rFonts w:hint="eastAsia" w:ascii="仿宋_GB2312" w:eastAsia="仿宋_GB2312"/>
          <w:b/>
          <w:bCs/>
          <w:color w:val="auto"/>
          <w:spacing w:val="-8"/>
          <w:sz w:val="24"/>
          <w:szCs w:val="24"/>
          <w:highlight w:val="none"/>
          <w:lang w:val="en-US" w:eastAsia="zh-CN"/>
        </w:rPr>
        <w:t>四</w:t>
      </w:r>
      <w:r>
        <w:rPr>
          <w:rFonts w:hint="eastAsia" w:ascii="仿宋_GB2312" w:eastAsia="仿宋_GB2312"/>
          <w:b/>
          <w:bCs/>
          <w:color w:val="auto"/>
          <w:spacing w:val="-8"/>
          <w:sz w:val="24"/>
          <w:szCs w:val="24"/>
          <w:highlight w:val="none"/>
          <w:lang w:eastAsia="zh-CN"/>
        </w:rPr>
        <w:t>）</w:t>
      </w:r>
      <w:r>
        <w:rPr>
          <w:rFonts w:hint="eastAsia" w:ascii="仿宋_GB2312" w:eastAsia="仿宋_GB2312"/>
          <w:b/>
          <w:bCs/>
          <w:color w:val="auto"/>
          <w:spacing w:val="-8"/>
          <w:sz w:val="24"/>
          <w:szCs w:val="24"/>
          <w:highlight w:val="none"/>
        </w:rPr>
        <w:t>竞赛</w:t>
      </w:r>
      <w:r>
        <w:rPr>
          <w:rFonts w:hint="eastAsia" w:ascii="仿宋_GB2312" w:eastAsia="仿宋_GB2312"/>
          <w:b/>
          <w:bCs/>
          <w:color w:val="auto"/>
          <w:spacing w:val="-8"/>
          <w:sz w:val="24"/>
          <w:szCs w:val="24"/>
          <w:highlight w:val="none"/>
          <w:lang w:val="en-US" w:eastAsia="zh-CN"/>
        </w:rPr>
        <w:t>组织实施</w:t>
      </w:r>
    </w:p>
    <w:p>
      <w:pPr>
        <w:keepNext w:val="0"/>
        <w:keepLines w:val="0"/>
        <w:pageBreakBefore w:val="0"/>
        <w:widowControl w:val="0"/>
        <w:kinsoku/>
        <w:wordWrap/>
        <w:overflowPunct/>
        <w:topLinePunct w:val="0"/>
        <w:autoSpaceDE/>
        <w:autoSpaceDN/>
        <w:bidi w:val="0"/>
        <w:adjustRightInd/>
        <w:snapToGrid w:val="0"/>
        <w:spacing w:line="360" w:lineRule="auto"/>
        <w:ind w:firstLine="476" w:firstLineChars="200"/>
        <w:textAlignment w:val="auto"/>
        <w:outlineLvl w:val="9"/>
        <w:rPr>
          <w:rFonts w:hint="eastAsia" w:ascii="仿宋_GB2312" w:eastAsia="仿宋_GB2312"/>
          <w:color w:val="auto"/>
          <w:spacing w:val="-1"/>
          <w:sz w:val="24"/>
          <w:szCs w:val="24"/>
          <w:highlight w:val="none"/>
          <w:lang w:val="en-US" w:eastAsia="zh-CN"/>
        </w:rPr>
      </w:pPr>
      <w:r>
        <w:rPr>
          <w:rFonts w:hint="eastAsia" w:ascii="仿宋_GB2312" w:eastAsia="仿宋_GB2312"/>
          <w:color w:val="auto"/>
          <w:spacing w:val="-1"/>
          <w:sz w:val="24"/>
          <w:szCs w:val="24"/>
          <w:highlight w:val="none"/>
          <w:lang w:val="en-US" w:eastAsia="zh-CN"/>
        </w:rPr>
        <w:t>竞赛采取一批次组织竞赛，由执委会按照竞赛日程表和报名顺序组织各代表队领队参加公开抽签，确定各队进入场地和抽取赛位号的顺序。参赛队按照抽签确定的顺序进入比赛场地参赛。参赛队比赛前30分钟到赛项指定地点接受检录并进行一次加密。进场前15分钟抽签取得赛位号并进行二次加密。抽签结束后，随即进入竞赛场地，在与抽取的赛位号相对应的工位上完成竞赛规定的各项工作任务。</w:t>
      </w:r>
    </w:p>
    <w:p>
      <w:pPr>
        <w:keepNext w:val="0"/>
        <w:keepLines w:val="0"/>
        <w:pageBreakBefore w:val="0"/>
        <w:kinsoku/>
        <w:wordWrap/>
        <w:overflowPunct/>
        <w:topLinePunct w:val="0"/>
        <w:autoSpaceDE/>
        <w:autoSpaceDN/>
        <w:bidi w:val="0"/>
        <w:snapToGrid w:val="0"/>
        <w:spacing w:line="360" w:lineRule="auto"/>
        <w:ind w:firstLine="453" w:firstLineChars="189"/>
        <w:outlineLvl w:val="9"/>
        <w:rPr>
          <w:rFonts w:ascii="黑体" w:hAnsi="黑体" w:eastAsia="黑体"/>
          <w:spacing w:val="-8"/>
          <w:sz w:val="24"/>
          <w:szCs w:val="24"/>
          <w:highlight w:val="none"/>
        </w:rPr>
      </w:pPr>
      <w:r>
        <w:rPr>
          <w:rFonts w:hint="eastAsia" w:ascii="黑体" w:hAnsi="黑体" w:eastAsia="黑体"/>
          <w:sz w:val="24"/>
          <w:szCs w:val="24"/>
          <w:highlight w:val="none"/>
        </w:rPr>
        <w:t>五、</w:t>
      </w:r>
      <w:r>
        <w:rPr>
          <w:rFonts w:hint="eastAsia" w:ascii="黑体" w:hAnsi="黑体" w:eastAsia="黑体"/>
          <w:spacing w:val="-8"/>
          <w:sz w:val="24"/>
          <w:szCs w:val="24"/>
          <w:highlight w:val="none"/>
        </w:rPr>
        <w:t>竞赛流程</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rPr>
      </w:pPr>
      <w:r>
        <w:rPr>
          <w:rFonts w:hint="eastAsia" w:ascii="仿宋_GB2312" w:eastAsia="仿宋_GB2312"/>
          <w:spacing w:val="-8"/>
          <w:sz w:val="24"/>
          <w:szCs w:val="24"/>
          <w:highlight w:val="none"/>
        </w:rPr>
        <w:t>竞赛场次：按照一批次组织竞赛。</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rPr>
      </w:pPr>
      <w:r>
        <w:rPr>
          <w:rFonts w:hint="eastAsia" w:ascii="仿宋_GB2312" w:eastAsia="仿宋_GB2312"/>
          <w:spacing w:val="-8"/>
          <w:sz w:val="24"/>
          <w:szCs w:val="24"/>
          <w:highlight w:val="none"/>
        </w:rPr>
        <w:t>竞赛流程：参赛队报到 → 召开领队会 → 组织参赛选手赛前熟悉场地 → 检录、加密、正式比赛 → 比赛结束 → 成绩评定、公示→ 闭赛式。</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32"/>
          <w:szCs w:val="32"/>
          <w:highlight w:val="none"/>
        </w:rPr>
      </w:pPr>
      <w:r>
        <w:rPr>
          <w:rFonts w:hint="eastAsia" w:ascii="仿宋_GB2312" w:eastAsia="仿宋_GB2312"/>
          <w:spacing w:val="-8"/>
          <w:sz w:val="24"/>
          <w:szCs w:val="24"/>
          <w:highlight w:val="none"/>
        </w:rPr>
        <w:t>竞赛日程及内容如表1所示。</w:t>
      </w:r>
    </w:p>
    <w:p>
      <w:pPr>
        <w:keepNext w:val="0"/>
        <w:keepLines w:val="0"/>
        <w:pageBreakBefore w:val="0"/>
        <w:kinsoku/>
        <w:wordWrap/>
        <w:overflowPunct/>
        <w:topLinePunct w:val="0"/>
        <w:autoSpaceDE/>
        <w:autoSpaceDN/>
        <w:bidi w:val="0"/>
        <w:snapToGrid w:val="0"/>
        <w:spacing w:line="360" w:lineRule="auto"/>
        <w:ind w:firstLine="425" w:firstLineChars="189"/>
        <w:jc w:val="center"/>
        <w:outlineLvl w:val="9"/>
        <w:rPr>
          <w:rFonts w:hint="eastAsia" w:ascii="仿宋_GB2312" w:eastAsia="仿宋_GB2312"/>
          <w:b/>
          <w:bCs/>
          <w:spacing w:val="-8"/>
          <w:sz w:val="24"/>
          <w:szCs w:val="24"/>
          <w:highlight w:val="none"/>
        </w:rPr>
      </w:pPr>
      <w:r>
        <w:rPr>
          <w:rFonts w:hint="eastAsia" w:ascii="仿宋_GB2312" w:eastAsia="仿宋_GB2312"/>
          <w:b/>
          <w:bCs/>
          <w:spacing w:val="-8"/>
          <w:sz w:val="24"/>
          <w:szCs w:val="24"/>
          <w:highlight w:val="none"/>
        </w:rPr>
        <w:t>表1  竞赛日程及内容</w:t>
      </w:r>
    </w:p>
    <w:tbl>
      <w:tblPr>
        <w:tblStyle w:val="12"/>
        <w:tblW w:w="83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7"/>
        <w:gridCol w:w="715"/>
        <w:gridCol w:w="1863"/>
        <w:gridCol w:w="3209"/>
        <w:gridCol w:w="15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日期</w:t>
            </w:r>
          </w:p>
        </w:tc>
        <w:tc>
          <w:tcPr>
            <w:tcW w:w="25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时间</w:t>
            </w:r>
          </w:p>
        </w:tc>
        <w:tc>
          <w:tcPr>
            <w:tcW w:w="3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内容</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03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sz w:val="24"/>
              </w:rPr>
              <mc:AlternateContent>
                <mc:Choice Requires="wps">
                  <w:drawing>
                    <wp:anchor distT="0" distB="0" distL="114300" distR="114300" simplePos="0" relativeHeight="251660288" behindDoc="0" locked="0" layoutInCell="1" allowOverlap="1">
                      <wp:simplePos x="0" y="0"/>
                      <wp:positionH relativeFrom="column">
                        <wp:posOffset>-2112645</wp:posOffset>
                      </wp:positionH>
                      <wp:positionV relativeFrom="paragraph">
                        <wp:posOffset>728980</wp:posOffset>
                      </wp:positionV>
                      <wp:extent cx="635" cy="635"/>
                      <wp:effectExtent l="0" t="0" r="0" b="0"/>
                      <wp:wrapNone/>
                      <wp:docPr id="8" name="墨迹 8"/>
                      <wp:cNvGraphicFramePr/>
                      <a:graphic xmlns:a="http://schemas.openxmlformats.org/drawingml/2006/main">
                        <a:graphicData uri="http://schemas.microsoft.com/office/word/2010/wordprocessingInk">
                          <mc:AlternateContent xmlns:a14="http://schemas.microsoft.com/office/drawing/2010/main">
                            <mc:Choice Requires="a14">
                              <w14:contentPart bwMode="clr" r:id="rId5">
                                <w14:nvContentPartPr>
                                  <w14:cNvPr id="8" name="墨迹 8"/>
                                  <w14:cNvContentPartPr/>
                                </w14:nvContentPartPr>
                                <w14:xfrm>
                                  <a:off x="-915670" y="3862705"/>
                                  <a:ext cx="635" cy="635"/>
                                </w14:xfrm>
                              </w14:contentPart>
                            </mc:Choice>
                          </mc:AlternateContent>
                        </a:graphicData>
                      </a:graphic>
                    </wp:anchor>
                  </w:drawing>
                </mc:Choice>
                <mc:Fallback>
                  <w:pict>
                    <v:shape id="_x0000_s1026" o:spid="_x0000_s1026" o:spt="75" style="position:absolute;left:0pt;margin-left:-166.35pt;margin-top:57.4pt;height:0.05pt;width:0.05pt;z-index:251660288;mso-width-relative:page;mso-height-relative:page;" coordsize="21600,21600" o:gfxdata="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">
                      <v:imagedata r:id="rId6" o:title=""/>
                      <o:lock v:ext="edit"/>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-2112645</wp:posOffset>
                      </wp:positionH>
                      <wp:positionV relativeFrom="paragraph">
                        <wp:posOffset>196850</wp:posOffset>
                      </wp:positionV>
                      <wp:extent cx="635" cy="635"/>
                      <wp:effectExtent l="0" t="0" r="0" b="0"/>
                      <wp:wrapNone/>
                      <wp:docPr id="7" name="墨迹 7"/>
                      <wp:cNvGraphicFramePr/>
                      <a:graphic xmlns:a="http://schemas.openxmlformats.org/drawingml/2006/main">
                        <a:graphicData uri="http://schemas.microsoft.com/office/word/2010/wordprocessingInk">
                          <mc:AlternateContent xmlns:a14="http://schemas.microsoft.com/office/drawing/2010/main">
                            <mc:Choice Requires="a14">
                              <w14:contentPart bwMode="clr" r:id="rId7">
                                <w14:nvContentPartPr>
                                  <w14:cNvPr id="7" name="墨迹 7"/>
                                  <w14:cNvContentPartPr/>
                                </w14:nvContentPartPr>
                                <w14:xfrm>
                                  <a:off x="-915670" y="3862705"/>
                                  <a:ext cx="635" cy="635"/>
                                </w14:xfrm>
                              </w14:contentPart>
                            </mc:Choice>
                          </mc:AlternateContent>
                        </a:graphicData>
                      </a:graphic>
                    </wp:anchor>
                  </w:drawing>
                </mc:Choice>
                <mc:Fallback>
                  <w:pict>
                    <v:shape id="_x0000_s1026" o:spid="_x0000_s1026" o:spt="75" style="position:absolute;left:0pt;margin-left:-166.35pt;margin-top:15.5pt;height:0.05pt;width:0.05pt;z-index:251659264;mso-width-relative:page;mso-height-relative:page;" coordsize="21600,21600" o:gfxdata="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">
                      <v:imagedata r:id="rId6" o:title=""/>
                      <o:lock v:ext="edit"/>
                    </v:shape>
                  </w:pict>
                </mc:Fallback>
              </mc:AlternateContent>
            </w:r>
            <w:r>
              <w:rPr>
                <w:rFonts w:hint="eastAsia" w:ascii="仿宋_GB2312" w:hAnsi="仿宋_GB2312" w:eastAsia="仿宋_GB2312" w:cs="仿宋_GB2312"/>
                <w:kern w:val="0"/>
                <w:sz w:val="24"/>
                <w:szCs w:val="24"/>
                <w:highlight w:val="none"/>
              </w:rPr>
              <w:t>第一天</w:t>
            </w: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下午</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13:30前</w:t>
            </w:r>
          </w:p>
        </w:tc>
        <w:tc>
          <w:tcPr>
            <w:tcW w:w="3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报到</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酒店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14:00-15:00</w:t>
            </w:r>
          </w:p>
        </w:tc>
        <w:tc>
          <w:tcPr>
            <w:tcW w:w="3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领队会</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承办校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15:00-15:30</w:t>
            </w:r>
          </w:p>
        </w:tc>
        <w:tc>
          <w:tcPr>
            <w:tcW w:w="3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自带工具检查封存</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15:30-16:30</w:t>
            </w:r>
          </w:p>
        </w:tc>
        <w:tc>
          <w:tcPr>
            <w:tcW w:w="3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选手熟悉赛场</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03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第二天</w:t>
            </w: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上午</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7</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0</w:t>
            </w:r>
            <w:r>
              <w:rPr>
                <w:rFonts w:hint="eastAsia" w:ascii="仿宋_GB2312" w:hAnsi="仿宋_GB2312" w:eastAsia="仿宋_GB2312" w:cs="仿宋_GB2312"/>
                <w:color w:val="auto"/>
                <w:kern w:val="0"/>
                <w:sz w:val="24"/>
                <w:szCs w:val="24"/>
                <w:highlight w:val="none"/>
              </w:rPr>
              <w:t>0</w:t>
            </w:r>
          </w:p>
        </w:tc>
        <w:tc>
          <w:tcPr>
            <w:tcW w:w="3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选手集合上车</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酒店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7:</w:t>
            </w:r>
            <w:r>
              <w:rPr>
                <w:rFonts w:hint="eastAsia" w:ascii="仿宋_GB2312" w:hAnsi="仿宋_GB2312" w:eastAsia="仿宋_GB2312" w:cs="仿宋_GB2312"/>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rPr>
              <w:t>0-7:</w:t>
            </w:r>
            <w:r>
              <w:rPr>
                <w:rFonts w:hint="eastAsia" w:ascii="仿宋_GB2312" w:hAnsi="仿宋_GB2312" w:eastAsia="仿宋_GB2312" w:cs="仿宋_GB2312"/>
                <w:color w:val="auto"/>
                <w:kern w:val="0"/>
                <w:sz w:val="24"/>
                <w:szCs w:val="24"/>
                <w:highlight w:val="none"/>
                <w:lang w:val="en-US" w:eastAsia="zh-CN"/>
              </w:rPr>
              <w:t>45</w:t>
            </w:r>
          </w:p>
        </w:tc>
        <w:tc>
          <w:tcPr>
            <w:tcW w:w="3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选手检录（一次加密）</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r>
              <w:rPr>
                <w:rFonts w:hint="eastAsia" w:ascii="仿宋_GB2312" w:hAnsi="仿宋_GB2312" w:eastAsia="仿宋_GB2312" w:cs="仿宋_GB2312"/>
                <w:color w:val="auto"/>
                <w:kern w:val="0"/>
                <w:sz w:val="24"/>
                <w:szCs w:val="24"/>
                <w:highlight w:val="none"/>
                <w:lang w:val="en-US" w:eastAsia="zh-CN"/>
              </w:rPr>
              <w:t>45</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8</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0</w:t>
            </w:r>
            <w:r>
              <w:rPr>
                <w:rFonts w:hint="eastAsia" w:ascii="仿宋_GB2312" w:hAnsi="仿宋_GB2312" w:eastAsia="仿宋_GB2312" w:cs="仿宋_GB2312"/>
                <w:color w:val="auto"/>
                <w:kern w:val="0"/>
                <w:sz w:val="24"/>
                <w:szCs w:val="24"/>
                <w:highlight w:val="none"/>
              </w:rPr>
              <w:t>0</w:t>
            </w:r>
          </w:p>
        </w:tc>
        <w:tc>
          <w:tcPr>
            <w:tcW w:w="3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选手赛位抽签（二次加密）</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8</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0</w:t>
            </w:r>
            <w:r>
              <w:rPr>
                <w:rFonts w:hint="eastAsia" w:ascii="仿宋_GB2312" w:hAnsi="仿宋_GB2312" w:eastAsia="仿宋_GB2312" w:cs="仿宋_GB2312"/>
                <w:color w:val="auto"/>
                <w:kern w:val="0"/>
                <w:sz w:val="24"/>
                <w:szCs w:val="24"/>
                <w:highlight w:val="none"/>
              </w:rPr>
              <w:t>0-1</w:t>
            </w: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rPr>
              <w:t>0</w:t>
            </w:r>
          </w:p>
        </w:tc>
        <w:tc>
          <w:tcPr>
            <w:tcW w:w="3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firstLine="240" w:firstLineChars="100"/>
              <w:jc w:val="both"/>
              <w:textAlignment w:val="baseline"/>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模块A、模块B</w:t>
            </w:r>
            <w:r>
              <w:rPr>
                <w:rFonts w:hint="eastAsia" w:ascii="仿宋_GB2312" w:hAnsi="仿宋_GB2312" w:eastAsia="仿宋_GB2312" w:cs="仿宋_GB2312"/>
                <w:color w:val="auto"/>
                <w:kern w:val="0"/>
                <w:sz w:val="24"/>
                <w:szCs w:val="24"/>
                <w:highlight w:val="none"/>
              </w:rPr>
              <w:t>正式比赛</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eastAsia="zh-CN"/>
              </w:rPr>
              <w:t>下</w:t>
            </w:r>
            <w:r>
              <w:rPr>
                <w:rFonts w:hint="eastAsia" w:ascii="仿宋_GB2312" w:hAnsi="仿宋_GB2312" w:eastAsia="仿宋_GB2312" w:cs="仿宋_GB2312"/>
                <w:kern w:val="0"/>
                <w:sz w:val="24"/>
                <w:szCs w:val="24"/>
                <w:highlight w:val="none"/>
              </w:rPr>
              <w:t>午</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rPr>
              <w:t>0-1</w:t>
            </w:r>
            <w:r>
              <w:rPr>
                <w:rFonts w:hint="eastAsia" w:ascii="仿宋_GB2312" w:hAnsi="仿宋_GB2312" w:eastAsia="仿宋_GB2312" w:cs="仿宋_GB2312"/>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rPr>
              <w:t>0</w:t>
            </w:r>
          </w:p>
        </w:tc>
        <w:tc>
          <w:tcPr>
            <w:tcW w:w="3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选手、</w:t>
            </w:r>
            <w:r>
              <w:rPr>
                <w:rFonts w:hint="eastAsia" w:ascii="仿宋_GB2312" w:hAnsi="仿宋_GB2312" w:eastAsia="仿宋_GB2312" w:cs="仿宋_GB2312"/>
                <w:color w:val="auto"/>
                <w:kern w:val="0"/>
                <w:sz w:val="24"/>
                <w:szCs w:val="24"/>
                <w:highlight w:val="none"/>
              </w:rPr>
              <w:t>裁判休息及午餐</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eastAsia="zh-CN"/>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kern w:val="0"/>
                <w:sz w:val="24"/>
                <w:szCs w:val="24"/>
                <w:highlight w:val="none"/>
              </w:rPr>
              <w:t>1</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w:t>
            </w:r>
            <w:r>
              <w:rPr>
                <w:rFonts w:hint="eastAsia" w:ascii="仿宋_GB2312" w:hAnsi="仿宋_GB2312" w:eastAsia="仿宋_GB2312" w:cs="仿宋_GB2312"/>
                <w:kern w:val="0"/>
                <w:sz w:val="24"/>
                <w:szCs w:val="24"/>
                <w:highlight w:val="none"/>
                <w:lang w:val="en-US" w:eastAsia="zh-CN"/>
              </w:rPr>
              <w:t>15</w:t>
            </w:r>
            <w:r>
              <w:rPr>
                <w:rFonts w:hint="eastAsia" w:ascii="仿宋_GB2312" w:hAnsi="仿宋_GB2312" w:eastAsia="仿宋_GB2312" w:cs="仿宋_GB2312"/>
                <w:kern w:val="0"/>
                <w:sz w:val="24"/>
                <w:szCs w:val="24"/>
                <w:highlight w:val="none"/>
              </w:rPr>
              <w:t>:00</w:t>
            </w:r>
          </w:p>
        </w:tc>
        <w:tc>
          <w:tcPr>
            <w:tcW w:w="3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firstLine="240" w:firstLineChars="100"/>
              <w:jc w:val="both"/>
              <w:textAlignment w:val="baseline"/>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模块C正式比赛</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1037"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p>
        </w:tc>
        <w:tc>
          <w:tcPr>
            <w:tcW w:w="715" w:type="dxa"/>
            <w:vMerge w:val="continue"/>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p>
        </w:tc>
        <w:tc>
          <w:tcPr>
            <w:tcW w:w="1863" w:type="dxa"/>
            <w:tcBorders>
              <w:top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w:t>
            </w: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val="en-US" w:eastAsia="zh-CN"/>
              </w:rPr>
              <w:t>0</w:t>
            </w:r>
            <w:r>
              <w:rPr>
                <w:rFonts w:hint="eastAsia" w:ascii="仿宋_GB2312" w:hAnsi="仿宋_GB2312" w:eastAsia="仿宋_GB2312" w:cs="仿宋_GB2312"/>
                <w:kern w:val="0"/>
                <w:sz w:val="24"/>
                <w:szCs w:val="24"/>
                <w:highlight w:val="none"/>
              </w:rPr>
              <w:t>0-</w:t>
            </w:r>
            <w:r>
              <w:rPr>
                <w:rFonts w:hint="eastAsia" w:ascii="仿宋_GB2312" w:hAnsi="仿宋_GB2312" w:eastAsia="仿宋_GB2312" w:cs="仿宋_GB2312"/>
                <w:kern w:val="0"/>
                <w:sz w:val="24"/>
                <w:szCs w:val="24"/>
                <w:highlight w:val="none"/>
                <w:lang w:val="en-US" w:eastAsia="zh-CN"/>
              </w:rPr>
              <w:t>20</w:t>
            </w:r>
            <w:r>
              <w:rPr>
                <w:rFonts w:hint="eastAsia" w:ascii="仿宋_GB2312" w:hAnsi="仿宋_GB2312" w:eastAsia="仿宋_GB2312" w:cs="仿宋_GB2312"/>
                <w:kern w:val="0"/>
                <w:sz w:val="24"/>
                <w:szCs w:val="24"/>
                <w:highlight w:val="none"/>
              </w:rPr>
              <w:t>:00</w:t>
            </w:r>
          </w:p>
        </w:tc>
        <w:tc>
          <w:tcPr>
            <w:tcW w:w="3209" w:type="dxa"/>
            <w:tcBorders>
              <w:top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比赛成绩评定</w:t>
            </w:r>
          </w:p>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rPr>
              <w:t>成绩复核汇总</w:t>
            </w:r>
            <w:r>
              <w:rPr>
                <w:rFonts w:hint="eastAsia" w:ascii="仿宋_GB2312" w:hAnsi="仿宋_GB2312" w:eastAsia="仿宋_GB2312" w:cs="仿宋_GB2312"/>
                <w:kern w:val="0"/>
                <w:sz w:val="24"/>
                <w:szCs w:val="24"/>
                <w:highlight w:val="none"/>
                <w:lang w:eastAsia="zh-CN"/>
              </w:rPr>
              <w:t>公布</w:t>
            </w:r>
          </w:p>
        </w:tc>
        <w:tc>
          <w:tcPr>
            <w:tcW w:w="1527"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第</w:t>
            </w:r>
            <w:r>
              <w:rPr>
                <w:rFonts w:hint="eastAsia" w:ascii="仿宋_GB2312" w:hAnsi="仿宋_GB2312" w:eastAsia="仿宋_GB2312" w:cs="仿宋_GB2312"/>
                <w:kern w:val="0"/>
                <w:sz w:val="24"/>
                <w:szCs w:val="24"/>
                <w:highlight w:val="none"/>
                <w:lang w:eastAsia="zh-CN"/>
              </w:rPr>
              <w:t>三</w:t>
            </w:r>
            <w:r>
              <w:rPr>
                <w:rFonts w:hint="eastAsia" w:ascii="仿宋_GB2312" w:hAnsi="仿宋_GB2312" w:eastAsia="仿宋_GB2312" w:cs="仿宋_GB2312"/>
                <w:kern w:val="0"/>
                <w:sz w:val="24"/>
                <w:szCs w:val="24"/>
                <w:highlight w:val="none"/>
              </w:rPr>
              <w:t>天</w:t>
            </w: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上午</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9:00-10:00</w:t>
            </w:r>
          </w:p>
        </w:tc>
        <w:tc>
          <w:tcPr>
            <w:tcW w:w="3209" w:type="dxa"/>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闭赛式</w:t>
            </w:r>
          </w:p>
        </w:tc>
        <w:tc>
          <w:tcPr>
            <w:tcW w:w="1527"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承办校</w:t>
            </w:r>
          </w:p>
        </w:tc>
      </w:tr>
    </w:tbl>
    <w:p>
      <w:pPr>
        <w:keepNext w:val="0"/>
        <w:keepLines w:val="0"/>
        <w:pageBreakBefore w:val="0"/>
        <w:kinsoku/>
        <w:wordWrap/>
        <w:overflowPunct/>
        <w:topLinePunct w:val="0"/>
        <w:autoSpaceDE/>
        <w:autoSpaceDN/>
        <w:bidi w:val="0"/>
        <w:snapToGrid w:val="0"/>
        <w:spacing w:line="360" w:lineRule="auto"/>
        <w:ind w:firstLine="574" w:firstLineChars="189"/>
        <w:outlineLvl w:val="9"/>
        <w:rPr>
          <w:rFonts w:hint="eastAsia" w:ascii="仿宋_GB2312" w:eastAsia="仿宋_GB2312"/>
          <w:spacing w:val="-8"/>
          <w:sz w:val="32"/>
          <w:szCs w:val="32"/>
          <w:highlight w:val="none"/>
        </w:rPr>
      </w:pPr>
    </w:p>
    <w:p>
      <w:pPr>
        <w:keepNext w:val="0"/>
        <w:keepLines w:val="0"/>
        <w:pageBreakBefore w:val="0"/>
        <w:kinsoku/>
        <w:wordWrap/>
        <w:overflowPunct/>
        <w:topLinePunct w:val="0"/>
        <w:autoSpaceDE/>
        <w:autoSpaceDN/>
        <w:bidi w:val="0"/>
        <w:snapToGrid w:val="0"/>
        <w:spacing w:line="360" w:lineRule="auto"/>
        <w:ind w:firstLine="453" w:firstLineChars="189"/>
        <w:outlineLvl w:val="9"/>
        <w:rPr>
          <w:rFonts w:ascii="黑体" w:hAnsi="黑体" w:eastAsia="黑体"/>
          <w:sz w:val="24"/>
          <w:szCs w:val="24"/>
          <w:highlight w:val="none"/>
        </w:rPr>
      </w:pPr>
      <w:r>
        <w:rPr>
          <w:rFonts w:hint="eastAsia" w:ascii="黑体" w:hAnsi="黑体" w:eastAsia="黑体"/>
          <w:sz w:val="24"/>
          <w:szCs w:val="24"/>
          <w:highlight w:val="none"/>
        </w:rPr>
        <w:t>六、竞赛命题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本次比赛采用公开</w:t>
      </w:r>
      <w:r>
        <w:rPr>
          <w:rFonts w:hint="eastAsia" w:ascii="仿宋_GB2312" w:hAnsi="宋体" w:eastAsia="仿宋_GB2312" w:cs="仿宋_GB2312"/>
          <w:kern w:val="0"/>
          <w:sz w:val="24"/>
          <w:szCs w:val="24"/>
          <w:highlight w:val="none"/>
          <w:lang w:val="en-US" w:eastAsia="zh-CN"/>
        </w:rPr>
        <w:t>试题</w:t>
      </w:r>
      <w:r>
        <w:rPr>
          <w:rFonts w:hint="eastAsia" w:ascii="仿宋_GB2312" w:hAnsi="宋体" w:eastAsia="仿宋_GB2312" w:cs="仿宋_GB2312"/>
          <w:kern w:val="0"/>
          <w:sz w:val="24"/>
          <w:szCs w:val="24"/>
          <w:highlight w:val="none"/>
        </w:rPr>
        <w:t>，开赛前</w:t>
      </w:r>
      <w:r>
        <w:rPr>
          <w:rFonts w:hint="eastAsia" w:ascii="仿宋_GB2312" w:hAnsi="宋体" w:eastAsia="仿宋_GB2312" w:cs="仿宋_GB2312"/>
          <w:kern w:val="0"/>
          <w:sz w:val="24"/>
          <w:szCs w:val="24"/>
          <w:highlight w:val="none"/>
          <w:lang w:eastAsia="zh-CN"/>
        </w:rPr>
        <w:t>十天发布</w:t>
      </w:r>
      <w:r>
        <w:rPr>
          <w:rFonts w:hint="eastAsia" w:ascii="仿宋_GB2312" w:hAnsi="宋体" w:eastAsia="仿宋_GB2312" w:cs="仿宋_GB2312"/>
          <w:kern w:val="0"/>
          <w:sz w:val="24"/>
          <w:szCs w:val="24"/>
          <w:highlight w:val="none"/>
        </w:rPr>
        <w:t>在“山东省职业院校技能大赛网：http://sdskills.sdei.edu.cn/</w:t>
      </w:r>
      <w:r>
        <w:rPr>
          <w:rFonts w:hint="eastAsia" w:ascii="仿宋_GB2312" w:hAnsi="宋体" w:eastAsia="仿宋_GB2312" w:cs="仿宋_GB2312"/>
          <w:kern w:val="0"/>
          <w:sz w:val="24"/>
          <w:szCs w:val="24"/>
          <w:highlight w:val="none"/>
          <w:lang w:eastAsia="zh-CN"/>
        </w:rPr>
        <w:t>”，正式赛题在公开试题的基础上进行不超过</w:t>
      </w:r>
      <w:r>
        <w:rPr>
          <w:rFonts w:hint="eastAsia" w:ascii="仿宋_GB2312" w:hAnsi="宋体" w:eastAsia="仿宋_GB2312" w:cs="仿宋_GB2312"/>
          <w:kern w:val="0"/>
          <w:sz w:val="24"/>
          <w:szCs w:val="24"/>
          <w:highlight w:val="none"/>
          <w:lang w:val="en-US" w:eastAsia="zh-CN"/>
        </w:rPr>
        <w:t>30%的内容变动</w:t>
      </w:r>
      <w:r>
        <w:rPr>
          <w:rFonts w:hint="eastAsia" w:ascii="仿宋_GB2312" w:hAnsi="宋体" w:eastAsia="仿宋_GB2312" w:cs="仿宋_GB2312"/>
          <w:kern w:val="0"/>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53" w:firstLineChars="189"/>
        <w:outlineLvl w:val="9"/>
        <w:rPr>
          <w:rFonts w:ascii="黑体" w:hAnsi="黑体" w:eastAsia="黑体"/>
          <w:sz w:val="24"/>
          <w:szCs w:val="24"/>
          <w:highlight w:val="none"/>
        </w:rPr>
      </w:pPr>
      <w:r>
        <w:rPr>
          <w:rFonts w:hint="eastAsia" w:ascii="黑体" w:hAnsi="黑体" w:eastAsia="黑体"/>
          <w:sz w:val="24"/>
          <w:szCs w:val="24"/>
          <w:highlight w:val="none"/>
        </w:rPr>
        <w:t>七、竞赛规则</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仿宋_GB2312" w:hAnsi="宋体" w:eastAsia="仿宋_GB2312" w:cs="仿宋_GB2312"/>
          <w:b/>
          <w:bCs/>
          <w:kern w:val="0"/>
          <w:sz w:val="24"/>
          <w:szCs w:val="24"/>
          <w:highlight w:val="none"/>
        </w:rPr>
      </w:pPr>
      <w:r>
        <w:rPr>
          <w:rFonts w:hint="eastAsia" w:ascii="仿宋_GB2312" w:hAnsi="宋体" w:eastAsia="仿宋_GB2312" w:cs="仿宋_GB2312"/>
          <w:b/>
          <w:bCs/>
          <w:kern w:val="0"/>
          <w:sz w:val="24"/>
          <w:szCs w:val="24"/>
          <w:highlight w:val="none"/>
        </w:rPr>
        <w:t>（一）报名要求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24"/>
          <w:szCs w:val="24"/>
          <w:highlight w:val="none"/>
        </w:rPr>
        <w:t>各市教育行政部门按照《山东省教育厅等4部门关于举办第十</w:t>
      </w:r>
      <w:r>
        <w:rPr>
          <w:rFonts w:hint="eastAsia" w:ascii="仿宋_GB2312" w:hAnsi="宋体" w:eastAsia="仿宋_GB2312" w:cs="仿宋_GB2312"/>
          <w:kern w:val="0"/>
          <w:sz w:val="24"/>
          <w:szCs w:val="24"/>
          <w:highlight w:val="none"/>
          <w:lang w:val="en-US" w:eastAsia="zh-CN"/>
        </w:rPr>
        <w:t>六</w:t>
      </w:r>
      <w:r>
        <w:rPr>
          <w:rFonts w:hint="eastAsia" w:ascii="仿宋_GB2312" w:hAnsi="宋体" w:eastAsia="仿宋_GB2312" w:cs="仿宋_GB2312"/>
          <w:kern w:val="0"/>
          <w:sz w:val="24"/>
          <w:szCs w:val="24"/>
          <w:highlight w:val="none"/>
        </w:rPr>
        <w:t>届山东省职业院校技能大赛的通知》（鲁教职函〔2023〕47号）中的规定。</w:t>
      </w:r>
    </w:p>
    <w:p>
      <w:pPr>
        <w:keepNext w:val="0"/>
        <w:keepLines w:val="0"/>
        <w:pageBreakBefore w:val="0"/>
        <w:kinsoku/>
        <w:wordWrap/>
        <w:overflowPunct/>
        <w:topLinePunct w:val="0"/>
        <w:autoSpaceDE/>
        <w:autoSpaceDN/>
        <w:bidi w:val="0"/>
        <w:snapToGrid w:val="0"/>
        <w:spacing w:line="360" w:lineRule="auto"/>
        <w:ind w:firstLine="455" w:firstLineChars="189"/>
        <w:outlineLvl w:val="9"/>
        <w:rPr>
          <w:rFonts w:hint="eastAsia" w:ascii="仿宋_GB2312" w:hAnsi="宋体" w:eastAsia="仿宋_GB2312" w:cs="仿宋_GB2312"/>
          <w:b/>
          <w:bCs/>
          <w:kern w:val="0"/>
          <w:sz w:val="24"/>
          <w:szCs w:val="24"/>
          <w:highlight w:val="none"/>
        </w:rPr>
      </w:pPr>
      <w:r>
        <w:rPr>
          <w:rFonts w:hint="eastAsia" w:ascii="仿宋_GB2312" w:hAnsi="宋体" w:eastAsia="仿宋_GB2312" w:cs="仿宋_GB2312"/>
          <w:b/>
          <w:bCs/>
          <w:kern w:val="0"/>
          <w:sz w:val="24"/>
          <w:szCs w:val="24"/>
          <w:highlight w:val="none"/>
        </w:rPr>
        <w:t>（二）赛前准备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1.领队会议：比赛前一天下午召开领队会议，由各参赛队伍的领队和指导教师参加，会议讲解竞赛注意事项并进行赛前答疑。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2.熟悉赛场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（1）执委会安排领队会结束后各参赛队统一有序的熟悉场地，熟悉场地仅限在观摩区，不允许进入比赛区。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（2）熟悉场地时严格遵守大赛各种制度，严禁拥挤、喧哗，以免发生意外事故。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（3）熟悉场地过程中，必须服从现场志愿者和工作人员的统一协调安排，遵守秩序。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（4）熟悉场地时严禁与现场工作人员进行交流，不发表没有根据以及有损大赛整体形象的言论。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3.抽签入场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（1）参赛选手和指导老师按赛项规定的时间准时到达赛场集合，选手检录、进入备赛区。（检录裁判对各参赛选手的身份进行核对，身份证、学生证上的姓名、年龄、相貌特征应与参赛证一致。）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（2）选手按报名系统顺序，抽取比赛顺序号，一次加密。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（3）选手按比赛顺序号，抽取赛位号，二次加密。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（4）选手按赛位号进入指定赛位。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（5）比赛开始30分钟后选手不得入场，迟到的选手必须在赛场记录表相关栏目中说明到场时间</w:t>
      </w:r>
      <w:r>
        <w:rPr>
          <w:rFonts w:hint="eastAsia" w:ascii="仿宋_GB2312" w:hAnsi="宋体" w:eastAsia="仿宋_GB2312" w:cs="仿宋_GB2312"/>
          <w:kern w:val="0"/>
          <w:sz w:val="24"/>
          <w:szCs w:val="24"/>
          <w:highlight w:val="none"/>
          <w:lang w:eastAsia="zh-CN"/>
        </w:rPr>
        <w:t>、</w:t>
      </w:r>
      <w:r>
        <w:rPr>
          <w:rFonts w:hint="eastAsia" w:ascii="仿宋_GB2312" w:hAnsi="宋体" w:eastAsia="仿宋_GB2312" w:cs="仿宋_GB2312"/>
          <w:kern w:val="0"/>
          <w:sz w:val="24"/>
          <w:szCs w:val="24"/>
          <w:highlight w:val="none"/>
        </w:rPr>
        <w:t>迟到原因并签赛位号确认。</w:t>
      </w:r>
    </w:p>
    <w:p>
      <w:pPr>
        <w:keepNext w:val="0"/>
        <w:keepLines w:val="0"/>
        <w:pageBreakBefore w:val="0"/>
        <w:kinsoku/>
        <w:wordWrap/>
        <w:overflowPunct/>
        <w:topLinePunct w:val="0"/>
        <w:autoSpaceDE/>
        <w:autoSpaceDN/>
        <w:bidi w:val="0"/>
        <w:snapToGrid w:val="0"/>
        <w:spacing w:line="360" w:lineRule="auto"/>
        <w:ind w:firstLine="455" w:firstLineChars="189"/>
        <w:outlineLvl w:val="9"/>
        <w:rPr>
          <w:rFonts w:hint="eastAsia" w:ascii="仿宋_GB2312" w:hAnsi="宋体" w:eastAsia="仿宋_GB2312" w:cs="仿宋_GB2312"/>
          <w:b/>
          <w:bCs/>
          <w:kern w:val="0"/>
          <w:sz w:val="24"/>
          <w:szCs w:val="24"/>
          <w:highlight w:val="none"/>
        </w:rPr>
      </w:pPr>
      <w:r>
        <w:rPr>
          <w:rFonts w:hint="eastAsia" w:ascii="仿宋_GB2312" w:hAnsi="宋体" w:eastAsia="仿宋_GB2312" w:cs="仿宋_GB2312"/>
          <w:b/>
          <w:bCs/>
          <w:kern w:val="0"/>
          <w:sz w:val="24"/>
          <w:szCs w:val="24"/>
          <w:highlight w:val="none"/>
        </w:rPr>
        <w:t>（三）正式比赛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1.选手进入赛场后，必须听从现场裁判的统一布置和指挥。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2.裁判长发布比赛开始指令后正式比赛，参赛选手方可进行工作任务的操作。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3.比赛过程中若有工作任务书字迹不清问题，可向现场裁判示意，由现场裁判解决。若认为比赛设备或元器件有问题需要更换，应在赛场记录表的相应栏目上填写更换设备或元器件名称、规格与数量、更换原因、更换时间等信息，选手确认并签赛位号后，由现场裁判和技术人员予以更换。更换后经现场裁判和技术人员检验并将结果记录在赛场记录表的相应栏目中并签名确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4.竞赛期间，选手须严格遵守安全操作规程，并接受裁判员的监督和警示，以确保人身及设备安全。选手因个人误操作造成人身安全事故和设备故障时，裁判长有权终止该选手的比赛；如非选手个人误操作造成设备故障而无法比赛，由裁判长视具体情况做出裁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5.比赛过程中选手不得随意离开赛位，不得与其他参赛选手交流。因故终止比赛或提前完成工作任务需要离场，选手应报告现场裁判，在赛场记录表的相应栏目填写离场时间、离场原因并由现场裁判签名和选手签赛位号确认后方可离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6.比赛过程中，严重违反赛场纪律影响他人比赛者，违反操作规程不听劝告者，有意损坏赛场设备或设施者，现场裁判须报告裁判长，经赛区执委会主任同意后，由裁判长宣布取消其比赛资格。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7.裁判长在比赛结束前10分钟发出提示指令，裁判长发布比赛结束指令后所有参赛选手立即停止操作，有序离开赛场。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8.参赛选手不得将比赛任务书、图纸、草稿纸和工具等与比赛有关的物品带离赛场，选手必须经现场裁判员检查许可后方可离开赛场。</w:t>
      </w:r>
    </w:p>
    <w:p>
      <w:pPr>
        <w:keepNext w:val="0"/>
        <w:keepLines w:val="0"/>
        <w:pageBreakBefore w:val="0"/>
        <w:kinsoku/>
        <w:wordWrap/>
        <w:overflowPunct/>
        <w:topLinePunct w:val="0"/>
        <w:autoSpaceDE/>
        <w:autoSpaceDN/>
        <w:bidi w:val="0"/>
        <w:snapToGrid w:val="0"/>
        <w:spacing w:line="360" w:lineRule="auto"/>
        <w:ind w:firstLine="455" w:firstLineChars="189"/>
        <w:outlineLvl w:val="9"/>
        <w:rPr>
          <w:rFonts w:hint="eastAsia" w:ascii="仿宋_GB2312" w:hAnsi="宋体" w:eastAsia="仿宋_GB2312" w:cs="仿宋_GB2312"/>
          <w:b/>
          <w:bCs/>
          <w:kern w:val="0"/>
          <w:sz w:val="24"/>
          <w:szCs w:val="24"/>
          <w:highlight w:val="none"/>
        </w:rPr>
      </w:pPr>
      <w:r>
        <w:rPr>
          <w:rFonts w:hint="eastAsia" w:ascii="仿宋_GB2312" w:hAnsi="宋体" w:eastAsia="仿宋_GB2312" w:cs="仿宋_GB2312"/>
          <w:b/>
          <w:bCs/>
          <w:kern w:val="0"/>
          <w:sz w:val="24"/>
          <w:szCs w:val="24"/>
          <w:highlight w:val="none"/>
        </w:rPr>
        <w:t>（四）成绩公布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记分员将解密后的各参赛队伍（选手）成绩汇总成最终成绩单，经裁判长、监督仲裁组签字后进行公示。成绩公示无异议后，由监督仲裁组组长在成绩单上签字，并在闭赛式上公布。</w:t>
      </w:r>
    </w:p>
    <w:p>
      <w:pPr>
        <w:keepNext w:val="0"/>
        <w:keepLines w:val="0"/>
        <w:pageBreakBefore w:val="0"/>
        <w:kinsoku/>
        <w:wordWrap/>
        <w:overflowPunct/>
        <w:topLinePunct w:val="0"/>
        <w:autoSpaceDE/>
        <w:autoSpaceDN/>
        <w:bidi w:val="0"/>
        <w:snapToGrid w:val="0"/>
        <w:spacing w:line="360" w:lineRule="auto"/>
        <w:ind w:firstLine="453" w:firstLineChars="189"/>
        <w:outlineLvl w:val="9"/>
        <w:rPr>
          <w:rFonts w:ascii="黑体" w:hAnsi="黑体" w:eastAsia="黑体"/>
          <w:spacing w:val="-7"/>
          <w:sz w:val="24"/>
          <w:szCs w:val="24"/>
          <w:highlight w:val="none"/>
        </w:rPr>
      </w:pPr>
      <w:r>
        <w:rPr>
          <w:rFonts w:hint="eastAsia" w:ascii="黑体" w:hAnsi="黑体" w:eastAsia="黑体"/>
          <w:sz w:val="24"/>
          <w:szCs w:val="24"/>
          <w:highlight w:val="none"/>
        </w:rPr>
        <w:t>八、</w:t>
      </w:r>
      <w:r>
        <w:rPr>
          <w:rFonts w:hint="eastAsia" w:ascii="黑体" w:hAnsi="黑体" w:eastAsia="黑体"/>
          <w:spacing w:val="-7"/>
          <w:sz w:val="24"/>
          <w:szCs w:val="24"/>
          <w:highlight w:val="none"/>
        </w:rPr>
        <w:t>竞赛环境</w:t>
      </w:r>
    </w:p>
    <w:p>
      <w:pPr>
        <w:keepNext w:val="0"/>
        <w:keepLines w:val="0"/>
        <w:pageBreakBefore w:val="0"/>
        <w:kinsoku/>
        <w:wordWrap/>
        <w:overflowPunct/>
        <w:topLinePunct w:val="0"/>
        <w:autoSpaceDE/>
        <w:autoSpaceDN/>
        <w:bidi w:val="0"/>
        <w:snapToGrid w:val="0"/>
        <w:spacing w:line="360" w:lineRule="auto"/>
        <w:ind w:firstLine="429" w:firstLineChars="189"/>
        <w:outlineLvl w:val="9"/>
        <w:rPr>
          <w:rFonts w:hint="eastAsia" w:ascii="仿宋_GB2312" w:eastAsia="仿宋_GB2312"/>
          <w:b/>
          <w:bCs/>
          <w:spacing w:val="-7"/>
          <w:sz w:val="24"/>
          <w:szCs w:val="24"/>
          <w:highlight w:val="none"/>
        </w:rPr>
      </w:pPr>
      <w:r>
        <w:rPr>
          <w:rFonts w:hint="eastAsia" w:ascii="仿宋_GB2312" w:eastAsia="仿宋_GB2312"/>
          <w:b/>
          <w:bCs/>
          <w:spacing w:val="-7"/>
          <w:sz w:val="24"/>
          <w:szCs w:val="24"/>
          <w:highlight w:val="none"/>
        </w:rPr>
        <w:t>（一）赛位要求</w:t>
      </w:r>
    </w:p>
    <w:p>
      <w:pPr>
        <w:keepNext w:val="0"/>
        <w:keepLines w:val="0"/>
        <w:pageBreakBefore w:val="0"/>
        <w:widowControl w:val="0"/>
        <w:kinsoku/>
        <w:wordWrap/>
        <w:overflowPunct/>
        <w:topLinePunct w:val="0"/>
        <w:autoSpaceDE/>
        <w:autoSpaceDN/>
        <w:bidi w:val="0"/>
        <w:adjustRightInd/>
        <w:snapToGrid w:val="0"/>
        <w:spacing w:line="360" w:lineRule="auto"/>
        <w:ind w:firstLine="452" w:firstLineChars="200"/>
        <w:textAlignment w:val="auto"/>
        <w:outlineLvl w:val="9"/>
        <w:rPr>
          <w:rFonts w:hint="eastAsia" w:ascii="仿宋_GB2312" w:eastAsia="仿宋_GB2312"/>
          <w:spacing w:val="-7"/>
          <w:sz w:val="24"/>
          <w:szCs w:val="24"/>
          <w:highlight w:val="none"/>
        </w:rPr>
      </w:pPr>
      <w:r>
        <w:rPr>
          <w:rFonts w:hint="eastAsia" w:ascii="仿宋_GB2312" w:eastAsia="仿宋_GB2312"/>
          <w:spacing w:val="-7"/>
          <w:sz w:val="24"/>
          <w:szCs w:val="24"/>
          <w:highlight w:val="none"/>
        </w:rPr>
        <w:t>赛位设置为</w:t>
      </w:r>
      <w:r>
        <w:rPr>
          <w:rFonts w:hint="eastAsia" w:ascii="仿宋_GB2312" w:eastAsia="仿宋_GB2312"/>
          <w:spacing w:val="-7"/>
          <w:sz w:val="24"/>
          <w:szCs w:val="24"/>
          <w:highlight w:val="none"/>
          <w:lang w:val="en-US" w:eastAsia="zh-CN"/>
        </w:rPr>
        <w:t>26</w:t>
      </w:r>
      <w:r>
        <w:rPr>
          <w:rFonts w:hint="eastAsia" w:ascii="仿宋_GB2312" w:eastAsia="仿宋_GB2312"/>
          <w:spacing w:val="-7"/>
          <w:sz w:val="24"/>
          <w:szCs w:val="24"/>
          <w:highlight w:val="none"/>
        </w:rPr>
        <w:t>个赛位（其中1个为备用赛位），每个赛位占地不小于</w:t>
      </w:r>
      <w:r>
        <w:rPr>
          <w:rFonts w:hint="eastAsia" w:ascii="仿宋_GB2312" w:eastAsia="仿宋_GB2312"/>
          <w:spacing w:val="-7"/>
          <w:sz w:val="24"/>
          <w:szCs w:val="24"/>
          <w:highlight w:val="none"/>
          <w:lang w:val="en-US" w:eastAsia="zh-CN"/>
        </w:rPr>
        <w:t>12</w:t>
      </w:r>
      <w:r>
        <w:rPr>
          <w:rFonts w:hint="eastAsia" w:ascii="仿宋_GB2312" w:eastAsia="仿宋_GB2312"/>
          <w:spacing w:val="-7"/>
          <w:sz w:val="24"/>
          <w:szCs w:val="24"/>
          <w:highlight w:val="none"/>
        </w:rPr>
        <w:t>m</w:t>
      </w:r>
      <w:r>
        <w:rPr>
          <w:rFonts w:hint="eastAsia" w:ascii="仿宋_GB2312" w:eastAsia="仿宋_GB2312"/>
          <w:spacing w:val="-7"/>
          <w:sz w:val="24"/>
          <w:szCs w:val="24"/>
          <w:highlight w:val="none"/>
          <w:vertAlign w:val="superscript"/>
        </w:rPr>
        <w:t>2</w:t>
      </w:r>
      <w:r>
        <w:rPr>
          <w:rFonts w:hint="eastAsia" w:ascii="仿宋_GB2312" w:eastAsia="仿宋_GB2312"/>
          <w:spacing w:val="-7"/>
          <w:sz w:val="24"/>
          <w:szCs w:val="24"/>
          <w:highlight w:val="none"/>
        </w:rPr>
        <w:t>（</w:t>
      </w:r>
      <w:r>
        <w:rPr>
          <w:rFonts w:hint="eastAsia" w:ascii="仿宋_GB2312" w:eastAsia="仿宋_GB2312"/>
          <w:spacing w:val="-7"/>
          <w:sz w:val="24"/>
          <w:szCs w:val="24"/>
          <w:highlight w:val="none"/>
          <w:lang w:val="en-US" w:eastAsia="zh-CN"/>
        </w:rPr>
        <w:t>3</w:t>
      </w:r>
      <w:r>
        <w:rPr>
          <w:rFonts w:hint="eastAsia" w:ascii="仿宋_GB2312" w:eastAsia="仿宋_GB2312"/>
          <w:spacing w:val="-7"/>
          <w:sz w:val="24"/>
          <w:szCs w:val="24"/>
          <w:highlight w:val="none"/>
        </w:rPr>
        <w:t>m×4m），场地净高不低于3m，且标明赛位号，布置竞赛平台1套、工作台1张，凳子1张。</w:t>
      </w:r>
    </w:p>
    <w:p>
      <w:pPr>
        <w:keepNext w:val="0"/>
        <w:keepLines w:val="0"/>
        <w:pageBreakBefore w:val="0"/>
        <w:kinsoku/>
        <w:wordWrap/>
        <w:overflowPunct/>
        <w:topLinePunct w:val="0"/>
        <w:autoSpaceDE/>
        <w:autoSpaceDN/>
        <w:bidi w:val="0"/>
        <w:snapToGrid w:val="0"/>
        <w:spacing w:line="360" w:lineRule="auto"/>
        <w:ind w:firstLine="429" w:firstLineChars="189"/>
        <w:outlineLvl w:val="9"/>
        <w:rPr>
          <w:rFonts w:hint="eastAsia" w:ascii="仿宋_GB2312" w:eastAsia="仿宋_GB2312"/>
          <w:b/>
          <w:bCs/>
          <w:spacing w:val="-7"/>
          <w:sz w:val="24"/>
          <w:szCs w:val="24"/>
          <w:highlight w:val="none"/>
        </w:rPr>
      </w:pPr>
      <w:r>
        <w:rPr>
          <w:rFonts w:hint="eastAsia" w:ascii="仿宋_GB2312" w:eastAsia="仿宋_GB2312"/>
          <w:b/>
          <w:bCs/>
          <w:spacing w:val="-7"/>
          <w:sz w:val="24"/>
          <w:szCs w:val="24"/>
          <w:highlight w:val="none"/>
        </w:rPr>
        <w:t>（二）场地要求</w:t>
      </w:r>
    </w:p>
    <w:p>
      <w:pPr>
        <w:keepNext w:val="0"/>
        <w:keepLines w:val="0"/>
        <w:pageBreakBefore w:val="0"/>
        <w:widowControl w:val="0"/>
        <w:kinsoku/>
        <w:wordWrap/>
        <w:overflowPunct/>
        <w:topLinePunct w:val="0"/>
        <w:autoSpaceDE/>
        <w:autoSpaceDN/>
        <w:bidi w:val="0"/>
        <w:adjustRightInd/>
        <w:snapToGrid w:val="0"/>
        <w:spacing w:line="360" w:lineRule="auto"/>
        <w:ind w:firstLine="452" w:firstLineChars="200"/>
        <w:textAlignment w:val="auto"/>
        <w:outlineLvl w:val="9"/>
        <w:rPr>
          <w:rFonts w:hint="eastAsia" w:ascii="仿宋_GB2312" w:eastAsia="仿宋_GB2312"/>
          <w:spacing w:val="-7"/>
          <w:sz w:val="24"/>
          <w:szCs w:val="24"/>
          <w:highlight w:val="none"/>
        </w:rPr>
      </w:pPr>
      <w:r>
        <w:rPr>
          <w:rFonts w:hint="eastAsia" w:ascii="仿宋_GB2312" w:eastAsia="仿宋_GB2312"/>
          <w:spacing w:val="-7"/>
          <w:sz w:val="24"/>
          <w:szCs w:val="24"/>
          <w:highlight w:val="none"/>
        </w:rPr>
        <w:t>1.竞赛场地光线充足，照明良好；供电供水设施正常且安全有保障；场地整洁。</w:t>
      </w:r>
    </w:p>
    <w:p>
      <w:pPr>
        <w:keepNext w:val="0"/>
        <w:keepLines w:val="0"/>
        <w:pageBreakBefore w:val="0"/>
        <w:widowControl w:val="0"/>
        <w:kinsoku/>
        <w:wordWrap/>
        <w:overflowPunct/>
        <w:topLinePunct w:val="0"/>
        <w:autoSpaceDE/>
        <w:autoSpaceDN/>
        <w:bidi w:val="0"/>
        <w:adjustRightInd/>
        <w:snapToGrid w:val="0"/>
        <w:spacing w:line="360" w:lineRule="auto"/>
        <w:ind w:firstLine="452" w:firstLineChars="200"/>
        <w:textAlignment w:val="auto"/>
        <w:outlineLvl w:val="9"/>
        <w:rPr>
          <w:rFonts w:hint="eastAsia" w:ascii="仿宋_GB2312" w:eastAsia="仿宋_GB2312"/>
          <w:spacing w:val="-7"/>
          <w:sz w:val="24"/>
          <w:szCs w:val="24"/>
          <w:highlight w:val="none"/>
        </w:rPr>
      </w:pPr>
      <w:r>
        <w:rPr>
          <w:rFonts w:hint="eastAsia" w:ascii="仿宋_GB2312" w:eastAsia="仿宋_GB2312"/>
          <w:spacing w:val="-7"/>
          <w:sz w:val="24"/>
          <w:szCs w:val="24"/>
          <w:highlight w:val="none"/>
        </w:rPr>
        <w:t>2.竞赛场地屏蔽通信信号，并设置隔离带，非裁判员、参赛选手、工作人员不得进入比赛场地；竞赛场地划分为检录区、竞赛操作区、现场服务与技术支持区、休息区、观摩通道等区域，区域之间有明显标志或警示带；标明消防器材、安全通道、洗手间等位置。</w:t>
      </w:r>
    </w:p>
    <w:p>
      <w:pPr>
        <w:keepNext w:val="0"/>
        <w:keepLines w:val="0"/>
        <w:pageBreakBefore w:val="0"/>
        <w:widowControl w:val="0"/>
        <w:kinsoku/>
        <w:wordWrap/>
        <w:overflowPunct/>
        <w:topLinePunct w:val="0"/>
        <w:autoSpaceDE/>
        <w:autoSpaceDN/>
        <w:bidi w:val="0"/>
        <w:adjustRightInd/>
        <w:snapToGrid w:val="0"/>
        <w:spacing w:line="360" w:lineRule="auto"/>
        <w:ind w:firstLine="452" w:firstLineChars="200"/>
        <w:textAlignment w:val="auto"/>
        <w:outlineLvl w:val="9"/>
        <w:rPr>
          <w:rFonts w:hint="eastAsia" w:ascii="仿宋_GB2312" w:eastAsia="仿宋_GB2312"/>
          <w:spacing w:val="-7"/>
          <w:sz w:val="24"/>
          <w:szCs w:val="24"/>
          <w:highlight w:val="none"/>
        </w:rPr>
      </w:pPr>
      <w:r>
        <w:rPr>
          <w:rFonts w:hint="eastAsia" w:ascii="仿宋_GB2312" w:eastAsia="仿宋_GB2312"/>
          <w:spacing w:val="-7"/>
          <w:sz w:val="24"/>
          <w:szCs w:val="24"/>
          <w:highlight w:val="none"/>
        </w:rPr>
        <w:t>3.赛场设有保安、公安、消防、医疗、设备维修和电力抢险人员待命，以防突发事件；赛场还应设有生活补给站等公共服务设施，为选手和赛场人员提供服务。</w:t>
      </w:r>
    </w:p>
    <w:p>
      <w:pPr>
        <w:keepNext w:val="0"/>
        <w:keepLines w:val="0"/>
        <w:pageBreakBefore w:val="0"/>
        <w:widowControl w:val="0"/>
        <w:kinsoku/>
        <w:wordWrap/>
        <w:overflowPunct/>
        <w:topLinePunct w:val="0"/>
        <w:autoSpaceDE/>
        <w:autoSpaceDN/>
        <w:bidi w:val="0"/>
        <w:adjustRightInd/>
        <w:snapToGrid w:val="0"/>
        <w:spacing w:line="360" w:lineRule="auto"/>
        <w:ind w:firstLine="452" w:firstLineChars="200"/>
        <w:textAlignment w:val="auto"/>
        <w:outlineLvl w:val="9"/>
        <w:rPr>
          <w:rFonts w:ascii="仿宋_GB2312" w:eastAsia="仿宋_GB2312"/>
          <w:sz w:val="24"/>
          <w:szCs w:val="24"/>
          <w:highlight w:val="none"/>
        </w:rPr>
      </w:pPr>
      <w:r>
        <w:rPr>
          <w:rFonts w:hint="eastAsia" w:ascii="仿宋_GB2312" w:eastAsia="仿宋_GB2312"/>
          <w:spacing w:val="-7"/>
          <w:sz w:val="24"/>
          <w:szCs w:val="24"/>
          <w:highlight w:val="none"/>
        </w:rPr>
        <w:t>4.赛场设置安全通道和警戒线，确保进入赛场的大赛参观、采访、视察的人员限定在安全区域内活动，以保证大赛安全有序进行。</w:t>
      </w:r>
    </w:p>
    <w:p>
      <w:pPr>
        <w:keepNext w:val="0"/>
        <w:keepLines w:val="0"/>
        <w:pageBreakBefore w:val="0"/>
        <w:kinsoku/>
        <w:wordWrap/>
        <w:overflowPunct/>
        <w:topLinePunct w:val="0"/>
        <w:autoSpaceDE/>
        <w:autoSpaceDN/>
        <w:bidi w:val="0"/>
        <w:snapToGrid w:val="0"/>
        <w:spacing w:line="360" w:lineRule="auto"/>
        <w:ind w:firstLine="453" w:firstLineChars="189"/>
        <w:outlineLvl w:val="9"/>
        <w:rPr>
          <w:rFonts w:ascii="黑体" w:hAnsi="黑体" w:eastAsia="黑体"/>
          <w:spacing w:val="-8"/>
          <w:sz w:val="24"/>
          <w:szCs w:val="24"/>
          <w:highlight w:val="none"/>
        </w:rPr>
      </w:pPr>
      <w:r>
        <w:rPr>
          <w:rFonts w:hint="eastAsia" w:ascii="黑体" w:hAnsi="黑体" w:eastAsia="黑体"/>
          <w:sz w:val="24"/>
          <w:szCs w:val="24"/>
          <w:highlight w:val="none"/>
        </w:rPr>
        <w:t>九、</w:t>
      </w:r>
      <w:r>
        <w:rPr>
          <w:rFonts w:hint="eastAsia" w:ascii="黑体" w:hAnsi="黑体" w:eastAsia="黑体"/>
          <w:spacing w:val="-8"/>
          <w:sz w:val="24"/>
          <w:szCs w:val="24"/>
          <w:highlight w:val="none"/>
        </w:rPr>
        <w:t>技术规范</w:t>
      </w:r>
    </w:p>
    <w:p>
      <w:pPr>
        <w:keepNext w:val="0"/>
        <w:keepLines w:val="0"/>
        <w:pageBreakBefore w:val="0"/>
        <w:kinsoku/>
        <w:wordWrap/>
        <w:overflowPunct/>
        <w:topLinePunct w:val="0"/>
        <w:autoSpaceDE/>
        <w:autoSpaceDN/>
        <w:bidi w:val="0"/>
        <w:snapToGrid w:val="0"/>
        <w:spacing w:line="360" w:lineRule="auto"/>
        <w:ind w:firstLine="429" w:firstLineChars="189"/>
        <w:outlineLvl w:val="9"/>
        <w:rPr>
          <w:rFonts w:hint="eastAsia" w:ascii="仿宋_GB2312" w:eastAsia="仿宋_GB2312"/>
          <w:b/>
          <w:bCs/>
          <w:spacing w:val="-7"/>
          <w:sz w:val="24"/>
          <w:szCs w:val="24"/>
          <w:highlight w:val="none"/>
          <w:lang w:eastAsia="zh-CN"/>
        </w:rPr>
      </w:pPr>
      <w:r>
        <w:rPr>
          <w:rFonts w:hint="eastAsia" w:ascii="仿宋_GB2312" w:eastAsia="仿宋_GB2312"/>
          <w:b/>
          <w:bCs/>
          <w:spacing w:val="-7"/>
          <w:sz w:val="24"/>
          <w:szCs w:val="24"/>
          <w:highlight w:val="none"/>
        </w:rPr>
        <w:t>（一）工作</w:t>
      </w:r>
      <w:r>
        <w:rPr>
          <w:rFonts w:hint="eastAsia" w:ascii="仿宋_GB2312" w:eastAsia="仿宋_GB2312"/>
          <w:b/>
          <w:bCs/>
          <w:spacing w:val="-7"/>
          <w:sz w:val="24"/>
          <w:szCs w:val="24"/>
          <w:highlight w:val="none"/>
          <w:lang w:val="en-US" w:eastAsia="zh-CN"/>
        </w:rPr>
        <w:t>任务</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rPr>
      </w:pPr>
      <w:r>
        <w:rPr>
          <w:rFonts w:hint="eastAsia" w:ascii="仿宋_GB2312" w:eastAsia="仿宋_GB2312"/>
          <w:spacing w:val="-8"/>
          <w:sz w:val="24"/>
          <w:szCs w:val="24"/>
          <w:highlight w:val="none"/>
        </w:rPr>
        <w:t>模块</w:t>
      </w:r>
      <w:r>
        <w:rPr>
          <w:rFonts w:hint="eastAsia" w:ascii="仿宋_GB2312" w:eastAsia="仿宋_GB2312"/>
          <w:spacing w:val="-8"/>
          <w:sz w:val="24"/>
          <w:szCs w:val="24"/>
          <w:highlight w:val="none"/>
          <w:lang w:val="en-US" w:eastAsia="zh-CN"/>
        </w:rPr>
        <w:t>一</w:t>
      </w:r>
      <w:r>
        <w:rPr>
          <w:rFonts w:hint="eastAsia" w:ascii="仿宋_GB2312" w:eastAsia="仿宋_GB2312"/>
          <w:spacing w:val="-1"/>
          <w:sz w:val="24"/>
          <w:szCs w:val="24"/>
          <w:highlight w:val="none"/>
          <w:lang w:eastAsia="zh-CN"/>
        </w:rPr>
        <w:t>：</w:t>
      </w:r>
      <w:r>
        <w:rPr>
          <w:rFonts w:hint="eastAsia" w:ascii="仿宋_GB2312" w:eastAsia="仿宋_GB2312"/>
          <w:spacing w:val="-8"/>
          <w:sz w:val="24"/>
          <w:szCs w:val="24"/>
          <w:highlight w:val="none"/>
        </w:rPr>
        <w:t>制冷组件制作</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rPr>
      </w:pPr>
      <w:r>
        <w:rPr>
          <w:rFonts w:hint="eastAsia" w:ascii="仿宋_GB2312" w:eastAsia="仿宋_GB2312"/>
          <w:spacing w:val="-8"/>
          <w:sz w:val="24"/>
          <w:szCs w:val="24"/>
          <w:highlight w:val="none"/>
        </w:rPr>
        <w:t>按照</w:t>
      </w:r>
      <w:r>
        <w:rPr>
          <w:rFonts w:hint="eastAsia" w:ascii="仿宋_GB2312" w:eastAsia="仿宋_GB2312"/>
          <w:spacing w:val="-8"/>
          <w:sz w:val="24"/>
          <w:szCs w:val="24"/>
          <w:highlight w:val="none"/>
          <w:lang w:val="en-US" w:eastAsia="zh-CN"/>
        </w:rPr>
        <w:t>竞赛文件</w:t>
      </w:r>
      <w:r>
        <w:rPr>
          <w:rFonts w:hint="eastAsia" w:ascii="仿宋_GB2312" w:eastAsia="仿宋_GB2312"/>
          <w:spacing w:val="-8"/>
          <w:sz w:val="24"/>
          <w:szCs w:val="24"/>
          <w:highlight w:val="none"/>
        </w:rPr>
        <w:t>文字说明及图纸技术要求，合理使用专用工具进行制冷管件的制作。任务要求符合制冷工国家职业标准（职业编码6-03-01-06）、制冷空调作业安全技术规范（AQ 7004-2007）等。</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rPr>
      </w:pPr>
      <w:r>
        <w:rPr>
          <w:rFonts w:hint="eastAsia" w:ascii="仿宋_GB2312" w:eastAsia="仿宋_GB2312"/>
          <w:spacing w:val="-8"/>
          <w:sz w:val="24"/>
          <w:szCs w:val="24"/>
          <w:highlight w:val="none"/>
        </w:rPr>
        <w:t>模块</w:t>
      </w:r>
      <w:r>
        <w:rPr>
          <w:rFonts w:hint="eastAsia" w:ascii="仿宋_GB2312" w:eastAsia="仿宋_GB2312"/>
          <w:spacing w:val="-8"/>
          <w:sz w:val="24"/>
          <w:szCs w:val="24"/>
          <w:highlight w:val="none"/>
          <w:lang w:val="en-US" w:eastAsia="zh-CN"/>
        </w:rPr>
        <w:t>二</w:t>
      </w:r>
      <w:r>
        <w:rPr>
          <w:rFonts w:hint="eastAsia" w:ascii="仿宋_GB2312" w:eastAsia="仿宋_GB2312"/>
          <w:spacing w:val="-1"/>
          <w:sz w:val="24"/>
          <w:szCs w:val="24"/>
          <w:highlight w:val="none"/>
          <w:lang w:eastAsia="zh-CN"/>
        </w:rPr>
        <w:t>：</w:t>
      </w:r>
      <w:r>
        <w:rPr>
          <w:rFonts w:hint="eastAsia" w:ascii="仿宋_GB2312" w:eastAsia="仿宋_GB2312"/>
          <w:spacing w:val="-8"/>
          <w:sz w:val="24"/>
          <w:szCs w:val="24"/>
          <w:highlight w:val="none"/>
        </w:rPr>
        <w:t>制冷设备安装、测试及调试</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rPr>
      </w:pPr>
      <w:r>
        <w:rPr>
          <w:rFonts w:hint="eastAsia" w:ascii="仿宋_GB2312" w:eastAsia="仿宋_GB2312"/>
          <w:spacing w:val="-8"/>
          <w:sz w:val="24"/>
          <w:szCs w:val="24"/>
          <w:highlight w:val="none"/>
        </w:rPr>
        <w:t>按照竞赛文件文字说明及图纸技术要求，完成工作任务的实施过程要求符合制冷工国家职业标准（职业编码6-03-01-06）、制冷空调作业安全技术规范（AQ 7004-2007）、机械设备安装工程施工及验收通用规范(GB50231-2009)、技术文件用热工图形符号与文字代号（GB/T 16901.1-2008）、制冷空调系统安装维修工职业标准（职业编码6-29-03-05）、家用和类似用途电器安装、使用、维修安全要求（GB 8877-2008）、制冷和供热用机械制冷系统安全要求（GB 9237-2001 ）、制冷设备通用技术规范（GB 9237-88）、制冷管道安装工艺标准（411-1998）、制冷剂编号方法和安全性分类（GB/T7778-2017）、电气设备安装工国家职业标准（职业编码6-23-10-02）、电气装置安装工程低压电器施工及验收规范（GB50254-2014）等</w:t>
      </w:r>
      <w:r>
        <w:rPr>
          <w:rFonts w:hint="eastAsia" w:ascii="仿宋_GB2312" w:eastAsia="仿宋_GB2312"/>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rPr>
      </w:pPr>
      <w:r>
        <w:rPr>
          <w:rFonts w:hint="eastAsia" w:ascii="仿宋_GB2312" w:eastAsia="仿宋_GB2312"/>
          <w:spacing w:val="-8"/>
          <w:sz w:val="24"/>
          <w:szCs w:val="24"/>
          <w:highlight w:val="none"/>
        </w:rPr>
        <w:t>模块</w:t>
      </w:r>
      <w:r>
        <w:rPr>
          <w:rFonts w:hint="eastAsia" w:ascii="仿宋_GB2312" w:eastAsia="仿宋_GB2312"/>
          <w:spacing w:val="-8"/>
          <w:sz w:val="24"/>
          <w:szCs w:val="24"/>
          <w:highlight w:val="none"/>
          <w:lang w:val="en-US" w:eastAsia="zh-CN"/>
        </w:rPr>
        <w:t>三</w:t>
      </w:r>
      <w:r>
        <w:rPr>
          <w:rFonts w:hint="eastAsia" w:ascii="仿宋_GB2312" w:eastAsia="仿宋_GB2312"/>
          <w:spacing w:val="-1"/>
          <w:sz w:val="24"/>
          <w:szCs w:val="24"/>
          <w:highlight w:val="none"/>
          <w:lang w:eastAsia="zh-CN"/>
        </w:rPr>
        <w:t>：</w:t>
      </w:r>
      <w:r>
        <w:rPr>
          <w:rFonts w:hint="eastAsia" w:ascii="仿宋_GB2312" w:eastAsia="仿宋_GB2312"/>
          <w:spacing w:val="-8"/>
          <w:sz w:val="24"/>
          <w:szCs w:val="24"/>
          <w:highlight w:val="none"/>
        </w:rPr>
        <w:t>空调故障排查、修复、测试及调试</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rPr>
      </w:pPr>
      <w:r>
        <w:rPr>
          <w:rFonts w:hint="eastAsia" w:ascii="仿宋_GB2312" w:eastAsia="仿宋_GB2312"/>
          <w:spacing w:val="-8"/>
          <w:sz w:val="24"/>
          <w:szCs w:val="24"/>
          <w:highlight w:val="none"/>
          <w:lang w:val="en-US" w:eastAsia="zh-CN"/>
        </w:rPr>
        <w:t>完成</w:t>
      </w:r>
      <w:r>
        <w:rPr>
          <w:rFonts w:hint="eastAsia" w:ascii="仿宋_GB2312" w:eastAsia="仿宋_GB2312"/>
          <w:spacing w:val="-8"/>
          <w:sz w:val="24"/>
          <w:szCs w:val="24"/>
          <w:highlight w:val="none"/>
        </w:rPr>
        <w:t>任务要求符合空调装配工国家职业标准（职业编码 6-05-10-01）、制冷空调系统安装维修工职业标准（职业编码 6-29-03-05）、家用和类似用途电器安装、使用、维修安全要求（GB 8877-2008）、电气设备安装工国家职业标准（职业编码 6-23-10-02）、电气装置安装工程低压电器施工及验收规范（GB50254-2014）、制冷管道安装工艺标准（411-1998）、家用和类似用途空调器安装规范（GB17790-2008 ）等。</w:t>
      </w:r>
    </w:p>
    <w:p>
      <w:pPr>
        <w:keepNext w:val="0"/>
        <w:keepLines w:val="0"/>
        <w:pageBreakBefore w:val="0"/>
        <w:kinsoku/>
        <w:wordWrap/>
        <w:overflowPunct/>
        <w:topLinePunct w:val="0"/>
        <w:autoSpaceDE/>
        <w:autoSpaceDN/>
        <w:bidi w:val="0"/>
        <w:snapToGrid w:val="0"/>
        <w:spacing w:line="360" w:lineRule="auto"/>
        <w:ind w:firstLine="429" w:firstLineChars="189"/>
        <w:outlineLvl w:val="9"/>
        <w:rPr>
          <w:rFonts w:hint="eastAsia" w:ascii="仿宋_GB2312" w:eastAsia="仿宋_GB2312"/>
          <w:b/>
          <w:bCs/>
          <w:spacing w:val="-7"/>
          <w:sz w:val="24"/>
          <w:szCs w:val="24"/>
          <w:highlight w:val="none"/>
        </w:rPr>
      </w:pPr>
      <w:r>
        <w:rPr>
          <w:rFonts w:hint="eastAsia" w:ascii="仿宋_GB2312" w:eastAsia="仿宋_GB2312"/>
          <w:b/>
          <w:bCs/>
          <w:spacing w:val="-7"/>
          <w:sz w:val="24"/>
          <w:szCs w:val="24"/>
          <w:highlight w:val="none"/>
        </w:rPr>
        <w:t>（二）职业素养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模块</w:t>
      </w:r>
      <w:r>
        <w:rPr>
          <w:rFonts w:hint="eastAsia" w:ascii="仿宋_GB2312" w:eastAsia="仿宋_GB2312"/>
          <w:sz w:val="24"/>
          <w:szCs w:val="24"/>
          <w:highlight w:val="none"/>
          <w:lang w:val="en-US" w:eastAsia="zh-CN"/>
        </w:rPr>
        <w:t>四</w:t>
      </w:r>
      <w:r>
        <w:rPr>
          <w:rFonts w:hint="eastAsia" w:ascii="仿宋_GB2312" w:eastAsia="仿宋_GB2312"/>
          <w:spacing w:val="-1"/>
          <w:sz w:val="24"/>
          <w:szCs w:val="24"/>
          <w:highlight w:val="none"/>
          <w:lang w:eastAsia="zh-CN"/>
        </w:rPr>
        <w:t>：</w:t>
      </w:r>
      <w:r>
        <w:rPr>
          <w:rFonts w:hint="eastAsia" w:ascii="仿宋_GB2312" w:eastAsia="仿宋_GB2312"/>
          <w:sz w:val="24"/>
          <w:szCs w:val="24"/>
          <w:highlight w:val="none"/>
        </w:rPr>
        <w:t>健康与安全（非独立模块）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操作过程中要求符合相应职业岗位操作标准。</w:t>
      </w:r>
    </w:p>
    <w:p>
      <w:pPr>
        <w:keepNext w:val="0"/>
        <w:keepLines w:val="0"/>
        <w:pageBreakBefore w:val="0"/>
        <w:kinsoku/>
        <w:wordWrap/>
        <w:overflowPunct/>
        <w:topLinePunct w:val="0"/>
        <w:autoSpaceDE/>
        <w:autoSpaceDN/>
        <w:bidi w:val="0"/>
        <w:snapToGrid w:val="0"/>
        <w:spacing w:line="360" w:lineRule="auto"/>
        <w:ind w:firstLine="453" w:firstLineChars="189"/>
        <w:outlineLvl w:val="9"/>
        <w:rPr>
          <w:rFonts w:ascii="黑体" w:hAnsi="黑体" w:eastAsia="黑体"/>
          <w:spacing w:val="-8"/>
          <w:sz w:val="24"/>
          <w:szCs w:val="24"/>
          <w:highlight w:val="none"/>
        </w:rPr>
      </w:pPr>
      <w:r>
        <w:rPr>
          <w:rFonts w:hint="eastAsia" w:ascii="黑体" w:hAnsi="黑体" w:eastAsia="黑体"/>
          <w:sz w:val="24"/>
          <w:szCs w:val="24"/>
          <w:highlight w:val="none"/>
        </w:rPr>
        <w:t>十、</w:t>
      </w:r>
      <w:r>
        <w:rPr>
          <w:rFonts w:hint="eastAsia" w:ascii="黑体" w:hAnsi="黑体" w:eastAsia="黑体"/>
          <w:spacing w:val="-8"/>
          <w:sz w:val="24"/>
          <w:szCs w:val="24"/>
          <w:highlight w:val="none"/>
        </w:rPr>
        <w:t>技术平台</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lang w:val="en-US" w:eastAsia="zh-CN"/>
        </w:rPr>
      </w:pPr>
      <w:r>
        <w:rPr>
          <w:rFonts w:hint="eastAsia" w:ascii="仿宋_GB2312" w:eastAsia="仿宋_GB2312"/>
          <w:spacing w:val="-8"/>
          <w:sz w:val="24"/>
          <w:szCs w:val="24"/>
          <w:highlight w:val="none"/>
          <w:lang w:val="en-US" w:eastAsia="zh-CN"/>
        </w:rPr>
        <w:t>（一）赛场提供竞赛设备和器材</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lang w:val="en-US" w:eastAsia="zh-CN"/>
        </w:rPr>
      </w:pPr>
      <w:r>
        <w:rPr>
          <w:rFonts w:hint="eastAsia" w:ascii="仿宋_GB2312" w:eastAsia="仿宋_GB2312"/>
          <w:spacing w:val="-8"/>
          <w:sz w:val="24"/>
          <w:szCs w:val="24"/>
          <w:highlight w:val="none"/>
          <w:lang w:val="en-US" w:eastAsia="zh-CN"/>
        </w:rPr>
        <w:t>赛场提供山东星科智能科技股份有限公司技术平台“XK-ZLZR1A型空调制冷综合实训装置”，装置由空调设备实训台和制冷技术实训台组成，依据《制冷设备维修工》国家职业标准设计，强化学生对系统的设计、安装、测试、调试、故障诊断与维修以及工具的使用等综合职业能力，涵盖了制冷与空调系统的管路设计与制作、安装、保压、检漏、抽真空、系统测试、调试、电气故障检修与维护等一系列制冷与空调设备操作技能，培养新型复合型高技能制冷与空调专业技术人才。</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lang w:val="en-US" w:eastAsia="zh-CN"/>
        </w:rPr>
      </w:pPr>
      <w:r>
        <w:rPr>
          <w:rFonts w:hint="eastAsia" w:ascii="仿宋_GB2312" w:eastAsia="仿宋_GB2312"/>
          <w:spacing w:val="-8"/>
          <w:sz w:val="24"/>
          <w:szCs w:val="24"/>
          <w:highlight w:val="none"/>
          <w:lang w:val="en-US" w:eastAsia="zh-CN"/>
        </w:rPr>
        <w:t>装置采用现实生产、生活中常用的制冷技术，吸收制冷行业发展的前沿技术，来源于实际，展现了新型的制冷空调职业技能技术。</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lang w:val="en-US" w:eastAsia="zh-CN"/>
        </w:rPr>
      </w:pPr>
      <w:r>
        <w:rPr>
          <w:rFonts w:hint="eastAsia" w:ascii="仿宋_GB2312" w:eastAsia="仿宋_GB2312"/>
          <w:spacing w:val="-8"/>
          <w:sz w:val="24"/>
          <w:szCs w:val="24"/>
          <w:highlight w:val="none"/>
          <w:lang w:val="en-US" w:eastAsia="zh-CN"/>
        </w:rPr>
        <w:t>竞赛设备基本配置及赛场提供工具见表2、表3所示。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lang w:val="en-US" w:eastAsia="zh-CN"/>
        </w:rPr>
      </w:pPr>
    </w:p>
    <w:p>
      <w:pPr>
        <w:keepNext w:val="0"/>
        <w:keepLines w:val="0"/>
        <w:pageBreakBefore w:val="0"/>
        <w:kinsoku/>
        <w:wordWrap/>
        <w:overflowPunct/>
        <w:topLinePunct w:val="0"/>
        <w:autoSpaceDE/>
        <w:autoSpaceDN/>
        <w:bidi w:val="0"/>
        <w:snapToGrid w:val="0"/>
        <w:spacing w:line="360" w:lineRule="auto"/>
        <w:ind w:firstLine="455" w:firstLineChars="189"/>
        <w:jc w:val="center"/>
        <w:outlineLvl w:val="9"/>
        <w:rPr>
          <w:rFonts w:hint="eastAsia" w:ascii="仿宋_GB2312" w:hAnsi="宋体" w:eastAsia="仿宋_GB2312" w:cs="仿宋_GB2312"/>
          <w:b/>
          <w:bCs/>
          <w:kern w:val="0"/>
          <w:sz w:val="24"/>
          <w:szCs w:val="24"/>
          <w:highlight w:val="none"/>
        </w:rPr>
      </w:pPr>
      <w:r>
        <w:rPr>
          <w:rFonts w:hint="eastAsia" w:ascii="仿宋_GB2312" w:hAnsi="宋体" w:eastAsia="仿宋_GB2312" w:cs="仿宋_GB2312"/>
          <w:b/>
          <w:bCs/>
          <w:kern w:val="0"/>
          <w:sz w:val="24"/>
          <w:szCs w:val="24"/>
          <w:highlight w:val="none"/>
        </w:rPr>
        <w:t>表2  装置基本配置</w:t>
      </w:r>
    </w:p>
    <w:tbl>
      <w:tblPr>
        <w:tblStyle w:val="12"/>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709"/>
        <w:gridCol w:w="5511"/>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43" w:type="dxa"/>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序号</w:t>
            </w:r>
          </w:p>
        </w:tc>
        <w:tc>
          <w:tcPr>
            <w:tcW w:w="709" w:type="dxa"/>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名称</w:t>
            </w:r>
          </w:p>
        </w:tc>
        <w:tc>
          <w:tcPr>
            <w:tcW w:w="5511" w:type="dxa"/>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主要部件、器件及规格</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数量</w:t>
            </w:r>
          </w:p>
        </w:tc>
        <w:tc>
          <w:tcPr>
            <w:tcW w:w="709" w:type="dxa"/>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7" w:hRule="atLeast"/>
          <w:jc w:val="center"/>
        </w:trPr>
        <w:tc>
          <w:tcPr>
            <w:tcW w:w="743" w:type="dxa"/>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w:t>
            </w:r>
          </w:p>
        </w:tc>
        <w:tc>
          <w:tcPr>
            <w:tcW w:w="709" w:type="dxa"/>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实训平台</w:t>
            </w:r>
          </w:p>
        </w:tc>
        <w:tc>
          <w:tcPr>
            <w:tcW w:w="5511" w:type="dxa"/>
            <w:vAlign w:val="center"/>
          </w:tcPr>
          <w:p>
            <w:pPr>
              <w:keepNext w:val="0"/>
              <w:keepLines w:val="0"/>
              <w:pageBreakBefore w:val="0"/>
              <w:kinsoku/>
              <w:wordWrap/>
              <w:overflowPunct/>
              <w:topLinePunct w:val="0"/>
              <w:autoSpaceDE/>
              <w:autoSpaceDN/>
              <w:bidi w:val="0"/>
              <w:spacing w:after="156" w:afterLines="50"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型号：</w:t>
            </w:r>
            <w:r>
              <w:rPr>
                <w:rFonts w:hint="eastAsia" w:ascii="仿宋_GB2312" w:hAnsi="仿宋_GB2312" w:eastAsia="仿宋_GB2312" w:cs="仿宋_GB2312"/>
                <w:kern w:val="0"/>
                <w:sz w:val="24"/>
                <w:szCs w:val="24"/>
                <w:highlight w:val="none"/>
                <w:lang w:val="en-US" w:eastAsia="zh-CN"/>
              </w:rPr>
              <w:t>XK-</w:t>
            </w:r>
            <w:r>
              <w:rPr>
                <w:rFonts w:hint="eastAsia" w:ascii="仿宋_GB2312" w:hAnsi="仿宋_GB2312" w:eastAsia="仿宋_GB2312" w:cs="仿宋_GB2312"/>
                <w:kern w:val="0"/>
                <w:sz w:val="24"/>
                <w:szCs w:val="24"/>
                <w:highlight w:val="none"/>
              </w:rPr>
              <w:t>ZLZR1A型空调制冷综合实训装置</w:t>
            </w:r>
          </w:p>
          <w:p>
            <w:pPr>
              <w:keepNext w:val="0"/>
              <w:keepLines w:val="0"/>
              <w:pageBreakBefore w:val="0"/>
              <w:kinsoku/>
              <w:wordWrap/>
              <w:overflowPunct/>
              <w:topLinePunct w:val="0"/>
              <w:autoSpaceDE/>
              <w:autoSpaceDN/>
              <w:bidi w:val="0"/>
              <w:spacing w:after="156" w:afterLines="50"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制冷技术实训台：采用铝型材为主框架，上下两层桌面结构。桌面和立面安装防水、防火高密度板，立板采用错位安装方式。外形尺寸</w:t>
            </w: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000mm×</w:t>
            </w:r>
            <w:r>
              <w:rPr>
                <w:rFonts w:hint="eastAsia" w:ascii="仿宋_GB2312" w:hAnsi="仿宋_GB2312" w:eastAsia="仿宋_GB2312" w:cs="仿宋_GB2312"/>
                <w:kern w:val="0"/>
                <w:sz w:val="24"/>
                <w:szCs w:val="24"/>
                <w:highlight w:val="none"/>
                <w:lang w:val="en-US" w:eastAsia="zh-CN"/>
              </w:rPr>
              <w:t>7</w:t>
            </w:r>
            <w:r>
              <w:rPr>
                <w:rFonts w:hint="eastAsia" w:ascii="仿宋_GB2312" w:hAnsi="仿宋_GB2312" w:eastAsia="仿宋_GB2312" w:cs="仿宋_GB2312"/>
                <w:kern w:val="0"/>
                <w:sz w:val="24"/>
                <w:szCs w:val="24"/>
                <w:highlight w:val="none"/>
              </w:rPr>
              <w:t>00mm×2</w:t>
            </w:r>
            <w:r>
              <w:rPr>
                <w:rFonts w:hint="eastAsia" w:ascii="仿宋_GB2312" w:hAnsi="仿宋_GB2312" w:eastAsia="仿宋_GB2312" w:cs="仿宋_GB2312"/>
                <w:kern w:val="0"/>
                <w:sz w:val="24"/>
                <w:szCs w:val="24"/>
                <w:highlight w:val="none"/>
                <w:lang w:val="en-US" w:eastAsia="zh-CN"/>
              </w:rPr>
              <w:t>0</w:t>
            </w:r>
            <w:r>
              <w:rPr>
                <w:rFonts w:hint="eastAsia" w:ascii="仿宋_GB2312" w:hAnsi="仿宋_GB2312" w:eastAsia="仿宋_GB2312" w:cs="仿宋_GB2312"/>
                <w:kern w:val="0"/>
                <w:sz w:val="24"/>
                <w:szCs w:val="24"/>
                <w:highlight w:val="none"/>
              </w:rPr>
              <w:t>00mm。</w:t>
            </w:r>
          </w:p>
          <w:p>
            <w:pPr>
              <w:keepNext w:val="0"/>
              <w:keepLines w:val="0"/>
              <w:pageBreakBefore w:val="0"/>
              <w:kinsoku/>
              <w:wordWrap/>
              <w:overflowPunct/>
              <w:topLinePunct w:val="0"/>
              <w:autoSpaceDE/>
              <w:autoSpaceDN/>
              <w:bidi w:val="0"/>
              <w:spacing w:after="156" w:afterLines="50"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空调设备实训台</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采用一拖一变频式风管机空调，铝型材作为框架，由顶板、底座和网孔板模拟墙等组成，室内机</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室外机以及线控器等分别安装在上面。外形尺寸1000mm×700mm×2000mm。</w:t>
            </w:r>
          </w:p>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双层操作台</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双层结构，桌面外表包裹一层不锈钢板，坚固、耐用。桌面可操作面积约1800*600mm，整体高度700-800mm可调。</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1套</w:t>
            </w:r>
          </w:p>
        </w:tc>
        <w:tc>
          <w:tcPr>
            <w:tcW w:w="709" w:type="dxa"/>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743" w:type="dxa"/>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w:t>
            </w:r>
          </w:p>
        </w:tc>
        <w:tc>
          <w:tcPr>
            <w:tcW w:w="709" w:type="dxa"/>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空调系统</w:t>
            </w:r>
          </w:p>
        </w:tc>
        <w:tc>
          <w:tcPr>
            <w:tcW w:w="5511" w:type="dxa"/>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一拖一变频式风管机空调系统：</w:t>
            </w:r>
          </w:p>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HUR-35KFWL/NDZBp(/d)-3</w:t>
            </w:r>
          </w:p>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color w:val="FF0000"/>
                <w:kern w:val="0"/>
                <w:sz w:val="24"/>
                <w:szCs w:val="24"/>
                <w:highlight w:val="none"/>
              </w:rPr>
            </w:pPr>
            <w:r>
              <w:rPr>
                <w:rFonts w:hint="eastAsia" w:ascii="仿宋_GB2312" w:hAnsi="仿宋_GB2312" w:eastAsia="仿宋_GB2312" w:cs="仿宋_GB2312"/>
                <w:color w:val="auto"/>
                <w:kern w:val="0"/>
                <w:sz w:val="24"/>
                <w:szCs w:val="24"/>
                <w:highlight w:val="none"/>
              </w:rPr>
              <w:t>使用R</w:t>
            </w:r>
            <w:r>
              <w:rPr>
                <w:rFonts w:hint="eastAsia" w:ascii="仿宋_GB2312" w:hAnsi="仿宋_GB2312" w:eastAsia="仿宋_GB2312" w:cs="仿宋_GB2312"/>
                <w:color w:val="auto"/>
                <w:kern w:val="0"/>
                <w:sz w:val="24"/>
                <w:szCs w:val="24"/>
                <w:highlight w:val="none"/>
                <w:lang w:val="en-US" w:eastAsia="zh-CN"/>
              </w:rPr>
              <w:t>32</w:t>
            </w:r>
            <w:r>
              <w:rPr>
                <w:rFonts w:hint="eastAsia" w:ascii="仿宋_GB2312" w:hAnsi="仿宋_GB2312" w:eastAsia="仿宋_GB2312" w:cs="仿宋_GB2312"/>
                <w:color w:val="auto"/>
                <w:kern w:val="0"/>
                <w:sz w:val="24"/>
                <w:szCs w:val="24"/>
                <w:highlight w:val="none"/>
              </w:rPr>
              <w:t>环保制冷剂。</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1套</w:t>
            </w:r>
          </w:p>
        </w:tc>
        <w:tc>
          <w:tcPr>
            <w:tcW w:w="709" w:type="dxa"/>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743" w:type="dxa"/>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w:t>
            </w:r>
          </w:p>
        </w:tc>
        <w:tc>
          <w:tcPr>
            <w:tcW w:w="709" w:type="dxa"/>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制冷实训台</w:t>
            </w:r>
            <w:r>
              <w:rPr>
                <w:rFonts w:hint="eastAsia" w:ascii="仿宋_GB2312" w:hAnsi="仿宋_GB2312" w:eastAsia="仿宋_GB2312" w:cs="仿宋_GB2312"/>
                <w:kern w:val="0"/>
                <w:sz w:val="24"/>
                <w:szCs w:val="24"/>
                <w:highlight w:val="none"/>
              </w:rPr>
              <w:t>制冷系统</w:t>
            </w:r>
          </w:p>
        </w:tc>
        <w:tc>
          <w:tcPr>
            <w:tcW w:w="5511" w:type="dxa"/>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包含风冷冷凝机组、</w:t>
            </w:r>
            <w:r>
              <w:rPr>
                <w:rFonts w:hint="eastAsia" w:ascii="仿宋_GB2312" w:hAnsi="仿宋_GB2312" w:eastAsia="仿宋_GB2312" w:cs="仿宋_GB2312"/>
                <w:kern w:val="0"/>
                <w:sz w:val="24"/>
                <w:szCs w:val="24"/>
                <w:highlight w:val="none"/>
                <w:lang w:val="en-US" w:eastAsia="zh-CN"/>
              </w:rPr>
              <w:t>换热器</w:t>
            </w:r>
            <w:r>
              <w:rPr>
                <w:rFonts w:hint="eastAsia" w:ascii="仿宋_GB2312" w:hAnsi="仿宋_GB2312" w:eastAsia="仿宋_GB2312" w:cs="仿宋_GB2312"/>
                <w:kern w:val="0"/>
                <w:sz w:val="24"/>
                <w:szCs w:val="24"/>
                <w:highlight w:val="none"/>
              </w:rPr>
              <w:t>、压力表、压力控制器、电磁阀、膨胀阀、</w:t>
            </w:r>
            <w:r>
              <w:rPr>
                <w:rFonts w:hint="eastAsia" w:ascii="仿宋_GB2312" w:hAnsi="仿宋_GB2312" w:eastAsia="仿宋_GB2312" w:cs="仿宋_GB2312"/>
                <w:kern w:val="0"/>
                <w:sz w:val="24"/>
                <w:szCs w:val="24"/>
                <w:highlight w:val="none"/>
                <w:lang w:val="en-US" w:eastAsia="zh-CN"/>
              </w:rPr>
              <w:t>曲轴箱压力</w:t>
            </w:r>
            <w:r>
              <w:rPr>
                <w:rFonts w:hint="eastAsia" w:ascii="仿宋_GB2312" w:hAnsi="仿宋_GB2312" w:eastAsia="仿宋_GB2312" w:cs="仿宋_GB2312"/>
                <w:kern w:val="0"/>
                <w:sz w:val="24"/>
                <w:szCs w:val="24"/>
                <w:highlight w:val="none"/>
              </w:rPr>
              <w:t>调节阀、能量</w:t>
            </w:r>
            <w:r>
              <w:rPr>
                <w:rFonts w:hint="eastAsia" w:ascii="仿宋_GB2312" w:hAnsi="仿宋_GB2312" w:eastAsia="仿宋_GB2312" w:cs="仿宋_GB2312"/>
                <w:color w:val="auto"/>
                <w:kern w:val="0"/>
                <w:sz w:val="24"/>
                <w:szCs w:val="24"/>
                <w:highlight w:val="none"/>
              </w:rPr>
              <w:t>调节阀等。使用R134a环保制冷剂。</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1套</w:t>
            </w:r>
          </w:p>
        </w:tc>
        <w:tc>
          <w:tcPr>
            <w:tcW w:w="709" w:type="dxa"/>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743" w:type="dxa"/>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w:t>
            </w:r>
          </w:p>
        </w:tc>
        <w:tc>
          <w:tcPr>
            <w:tcW w:w="709" w:type="dxa"/>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电源箱</w:t>
            </w:r>
          </w:p>
        </w:tc>
        <w:tc>
          <w:tcPr>
            <w:tcW w:w="5511" w:type="dxa"/>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尺寸：</w:t>
            </w:r>
            <w:r>
              <w:rPr>
                <w:rFonts w:hint="eastAsia" w:ascii="仿宋_GB2312" w:hAnsi="仿宋_GB2312" w:eastAsia="仿宋_GB2312" w:cs="仿宋_GB2312"/>
                <w:kern w:val="0"/>
                <w:sz w:val="24"/>
                <w:szCs w:val="24"/>
                <w:highlight w:val="none"/>
                <w:lang w:val="en-US" w:eastAsia="zh-CN"/>
              </w:rPr>
              <w:t>51</w:t>
            </w:r>
            <w:r>
              <w:rPr>
                <w:rFonts w:hint="eastAsia" w:ascii="仿宋_GB2312" w:hAnsi="仿宋_GB2312" w:eastAsia="仿宋_GB2312" w:cs="仿宋_GB2312"/>
                <w:kern w:val="0"/>
                <w:sz w:val="24"/>
                <w:szCs w:val="24"/>
                <w:highlight w:val="none"/>
              </w:rPr>
              <w:t>0mm×</w:t>
            </w:r>
            <w:r>
              <w:rPr>
                <w:rFonts w:hint="eastAsia" w:ascii="仿宋_GB2312" w:hAnsi="仿宋_GB2312" w:eastAsia="仿宋_GB2312" w:cs="仿宋_GB2312"/>
                <w:kern w:val="0"/>
                <w:sz w:val="24"/>
                <w:szCs w:val="24"/>
                <w:highlight w:val="none"/>
                <w:lang w:val="en-US" w:eastAsia="zh-CN"/>
              </w:rPr>
              <w:t>49</w:t>
            </w:r>
            <w:r>
              <w:rPr>
                <w:rFonts w:hint="eastAsia" w:ascii="仿宋_GB2312" w:hAnsi="仿宋_GB2312" w:eastAsia="仿宋_GB2312" w:cs="仿宋_GB2312"/>
                <w:kern w:val="0"/>
                <w:sz w:val="24"/>
                <w:szCs w:val="24"/>
                <w:highlight w:val="none"/>
              </w:rPr>
              <w:t>0mm×</w:t>
            </w:r>
            <w:r>
              <w:rPr>
                <w:rFonts w:hint="eastAsia" w:ascii="仿宋_GB2312" w:hAnsi="仿宋_GB2312" w:eastAsia="仿宋_GB2312" w:cs="仿宋_GB2312"/>
                <w:kern w:val="0"/>
                <w:sz w:val="24"/>
                <w:szCs w:val="24"/>
                <w:highlight w:val="none"/>
                <w:lang w:val="en-US" w:eastAsia="zh-CN"/>
              </w:rPr>
              <w:t>24</w:t>
            </w:r>
            <w:r>
              <w:rPr>
                <w:rFonts w:hint="eastAsia" w:ascii="仿宋_GB2312" w:hAnsi="仿宋_GB2312" w:eastAsia="仿宋_GB2312" w:cs="仿宋_GB2312"/>
                <w:kern w:val="0"/>
                <w:sz w:val="24"/>
                <w:szCs w:val="24"/>
                <w:highlight w:val="none"/>
              </w:rPr>
              <w:t>0mm；</w:t>
            </w:r>
          </w:p>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漏电保护器1个，指示灯2个，工业插座2个，工业插头3个等；</w:t>
            </w:r>
            <w:r>
              <w:rPr>
                <w:rFonts w:hint="eastAsia" w:ascii="仿宋_GB2312" w:hAnsi="仿宋_GB2312" w:eastAsia="仿宋_GB2312" w:cs="仿宋_GB2312"/>
                <w:kern w:val="0"/>
                <w:sz w:val="24"/>
                <w:szCs w:val="24"/>
                <w:highlight w:val="none"/>
              </w:rPr>
              <w:t>用于制冷技术实训台</w:t>
            </w:r>
            <w:r>
              <w:rPr>
                <w:rFonts w:hint="eastAsia" w:ascii="仿宋_GB2312" w:hAnsi="仿宋_GB2312" w:eastAsia="仿宋_GB2312" w:cs="仿宋_GB2312"/>
                <w:kern w:val="0"/>
                <w:sz w:val="24"/>
                <w:szCs w:val="24"/>
                <w:highlight w:val="none"/>
                <w:lang w:val="en-US" w:eastAsia="zh-CN"/>
              </w:rPr>
              <w:t>和空调设备实训台以及外部设备的供电。</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1套</w:t>
            </w:r>
          </w:p>
        </w:tc>
        <w:tc>
          <w:tcPr>
            <w:tcW w:w="709" w:type="dxa"/>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43" w:type="dxa"/>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w:t>
            </w:r>
          </w:p>
        </w:tc>
        <w:tc>
          <w:tcPr>
            <w:tcW w:w="709" w:type="dxa"/>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电控箱</w:t>
            </w:r>
          </w:p>
        </w:tc>
        <w:tc>
          <w:tcPr>
            <w:tcW w:w="5511" w:type="dxa"/>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尺寸：</w:t>
            </w:r>
            <w:r>
              <w:rPr>
                <w:rFonts w:hint="eastAsia" w:ascii="仿宋_GB2312" w:hAnsi="仿宋_GB2312" w:eastAsia="仿宋_GB2312" w:cs="仿宋_GB2312"/>
                <w:kern w:val="0"/>
                <w:sz w:val="24"/>
                <w:szCs w:val="24"/>
                <w:highlight w:val="none"/>
                <w:lang w:val="en-US" w:eastAsia="zh-CN"/>
              </w:rPr>
              <w:t>30</w:t>
            </w:r>
            <w:r>
              <w:rPr>
                <w:rFonts w:hint="eastAsia" w:ascii="仿宋_GB2312" w:hAnsi="仿宋_GB2312" w:eastAsia="仿宋_GB2312" w:cs="仿宋_GB2312"/>
                <w:kern w:val="0"/>
                <w:sz w:val="24"/>
                <w:szCs w:val="24"/>
                <w:highlight w:val="none"/>
              </w:rPr>
              <w:t>0mm×</w:t>
            </w:r>
            <w:r>
              <w:rPr>
                <w:rFonts w:hint="eastAsia" w:ascii="仿宋_GB2312" w:hAnsi="仿宋_GB2312" w:eastAsia="仿宋_GB2312" w:cs="仿宋_GB2312"/>
                <w:kern w:val="0"/>
                <w:sz w:val="24"/>
                <w:szCs w:val="24"/>
                <w:highlight w:val="none"/>
                <w:lang w:val="en-US" w:eastAsia="zh-CN"/>
              </w:rPr>
              <w:t>20</w:t>
            </w:r>
            <w:r>
              <w:rPr>
                <w:rFonts w:hint="eastAsia" w:ascii="仿宋_GB2312" w:hAnsi="仿宋_GB2312" w:eastAsia="仿宋_GB2312" w:cs="仿宋_GB2312"/>
                <w:kern w:val="0"/>
                <w:sz w:val="24"/>
                <w:szCs w:val="24"/>
                <w:highlight w:val="none"/>
              </w:rPr>
              <w:t>0mm×</w:t>
            </w:r>
            <w:r>
              <w:rPr>
                <w:rFonts w:hint="eastAsia" w:ascii="仿宋_GB2312" w:hAnsi="仿宋_GB2312" w:eastAsia="仿宋_GB2312" w:cs="仿宋_GB2312"/>
                <w:kern w:val="0"/>
                <w:sz w:val="24"/>
                <w:szCs w:val="24"/>
                <w:highlight w:val="none"/>
                <w:lang w:val="en-US" w:eastAsia="zh-CN"/>
              </w:rPr>
              <w:t>17</w:t>
            </w:r>
            <w:r>
              <w:rPr>
                <w:rFonts w:hint="eastAsia" w:ascii="仿宋_GB2312" w:hAnsi="仿宋_GB2312" w:eastAsia="仿宋_GB2312" w:cs="仿宋_GB2312"/>
                <w:kern w:val="0"/>
                <w:sz w:val="24"/>
                <w:szCs w:val="24"/>
                <w:highlight w:val="none"/>
              </w:rPr>
              <w:t>0mm；</w:t>
            </w:r>
          </w:p>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包含温控器、旋钮开关、指示灯、保险丝、接线端子等，用于制冷实训台设备的供电</w:t>
            </w:r>
            <w:r>
              <w:rPr>
                <w:rFonts w:hint="eastAsia" w:ascii="仿宋_GB2312" w:hAnsi="仿宋_GB2312" w:eastAsia="仿宋_GB2312" w:cs="仿宋_GB2312"/>
                <w:kern w:val="0"/>
                <w:sz w:val="24"/>
                <w:szCs w:val="24"/>
                <w:highlight w:val="none"/>
              </w:rPr>
              <w:t>。</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1套</w:t>
            </w:r>
          </w:p>
        </w:tc>
        <w:tc>
          <w:tcPr>
            <w:tcW w:w="709" w:type="dxa"/>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rPr>
            </w:pPr>
          </w:p>
        </w:tc>
      </w:tr>
    </w:tbl>
    <w:p>
      <w:pPr>
        <w:keepNext w:val="0"/>
        <w:keepLines w:val="0"/>
        <w:pageBreakBefore w:val="0"/>
        <w:kinsoku/>
        <w:wordWrap/>
        <w:overflowPunct/>
        <w:topLinePunct w:val="0"/>
        <w:autoSpaceDE/>
        <w:autoSpaceDN/>
        <w:bidi w:val="0"/>
        <w:snapToGrid w:val="0"/>
        <w:spacing w:line="360" w:lineRule="auto"/>
        <w:ind w:firstLine="607" w:firstLineChars="189"/>
        <w:jc w:val="both"/>
        <w:outlineLvl w:val="9"/>
        <w:rPr>
          <w:rFonts w:hint="eastAsia" w:ascii="仿宋_GB2312" w:hAnsi="宋体" w:eastAsia="仿宋_GB2312" w:cs="仿宋_GB2312"/>
          <w:b/>
          <w:bCs/>
          <w:kern w:val="0"/>
          <w:sz w:val="32"/>
          <w:szCs w:val="32"/>
          <w:highlight w:val="none"/>
        </w:rPr>
      </w:pPr>
    </w:p>
    <w:p>
      <w:pPr>
        <w:keepNext w:val="0"/>
        <w:keepLines w:val="0"/>
        <w:pageBreakBefore w:val="0"/>
        <w:kinsoku/>
        <w:wordWrap/>
        <w:overflowPunct/>
        <w:topLinePunct w:val="0"/>
        <w:autoSpaceDE/>
        <w:autoSpaceDN/>
        <w:bidi w:val="0"/>
        <w:snapToGrid w:val="0"/>
        <w:spacing w:line="360" w:lineRule="auto"/>
        <w:ind w:firstLine="455" w:firstLineChars="189"/>
        <w:jc w:val="center"/>
        <w:outlineLvl w:val="9"/>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表3  赛场提供工具</w:t>
      </w:r>
    </w:p>
    <w:tbl>
      <w:tblPr>
        <w:tblStyle w:val="12"/>
        <w:tblW w:w="9099" w:type="dxa"/>
        <w:tblInd w:w="0" w:type="dxa"/>
        <w:tblLayout w:type="fixed"/>
        <w:tblCellMar>
          <w:top w:w="0" w:type="dxa"/>
          <w:left w:w="108" w:type="dxa"/>
          <w:bottom w:w="0" w:type="dxa"/>
          <w:right w:w="108" w:type="dxa"/>
        </w:tblCellMar>
      </w:tblPr>
      <w:tblGrid>
        <w:gridCol w:w="873"/>
        <w:gridCol w:w="2325"/>
        <w:gridCol w:w="3486"/>
        <w:gridCol w:w="1275"/>
        <w:gridCol w:w="1140"/>
      </w:tblGrid>
      <w:tr>
        <w:tblPrEx>
          <w:tblCellMar>
            <w:top w:w="0" w:type="dxa"/>
            <w:left w:w="108" w:type="dxa"/>
            <w:bottom w:w="0" w:type="dxa"/>
            <w:right w:w="108" w:type="dxa"/>
          </w:tblCellMar>
        </w:tblPrEx>
        <w:trPr>
          <w:trHeight w:val="402" w:hRule="atLeast"/>
        </w:trPr>
        <w:tc>
          <w:tcPr>
            <w:tcW w:w="873" w:type="dxa"/>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b/>
                <w:kern w:val="0"/>
                <w:sz w:val="24"/>
                <w:szCs w:val="24"/>
                <w:highlight w:val="none"/>
                <w:lang w:val="en-US" w:eastAsia="zh-CN"/>
              </w:rPr>
            </w:pPr>
            <w:r>
              <w:rPr>
                <w:rFonts w:hint="eastAsia" w:ascii="仿宋_GB2312" w:hAnsi="仿宋_GB2312" w:eastAsia="仿宋_GB2312" w:cs="仿宋_GB2312"/>
                <w:b/>
                <w:kern w:val="0"/>
                <w:sz w:val="24"/>
                <w:szCs w:val="24"/>
                <w:highlight w:val="none"/>
                <w:lang w:val="en-US" w:eastAsia="zh-CN"/>
              </w:rPr>
              <w:t>序号</w:t>
            </w:r>
          </w:p>
        </w:tc>
        <w:tc>
          <w:tcPr>
            <w:tcW w:w="2325"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b/>
                <w:kern w:val="0"/>
                <w:sz w:val="24"/>
                <w:szCs w:val="24"/>
                <w:highlight w:val="none"/>
                <w:lang w:val="en-US" w:eastAsia="zh-CN"/>
              </w:rPr>
            </w:pPr>
            <w:r>
              <w:rPr>
                <w:rFonts w:hint="eastAsia" w:ascii="仿宋_GB2312" w:hAnsi="仿宋_GB2312" w:eastAsia="仿宋_GB2312" w:cs="仿宋_GB2312"/>
                <w:b/>
                <w:kern w:val="0"/>
                <w:sz w:val="24"/>
                <w:szCs w:val="24"/>
                <w:highlight w:val="none"/>
                <w:lang w:val="en-US" w:eastAsia="zh-CN"/>
              </w:rPr>
              <w:t>名称</w:t>
            </w:r>
          </w:p>
        </w:tc>
        <w:tc>
          <w:tcPr>
            <w:tcW w:w="3486"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b/>
                <w:kern w:val="0"/>
                <w:sz w:val="24"/>
                <w:szCs w:val="24"/>
                <w:highlight w:val="none"/>
                <w:lang w:val="en-US" w:eastAsia="zh-CN"/>
              </w:rPr>
            </w:pPr>
            <w:r>
              <w:rPr>
                <w:rFonts w:hint="eastAsia" w:ascii="仿宋_GB2312" w:hAnsi="仿宋_GB2312" w:eastAsia="仿宋_GB2312" w:cs="仿宋_GB2312"/>
                <w:b/>
                <w:kern w:val="0"/>
                <w:sz w:val="24"/>
                <w:szCs w:val="24"/>
                <w:highlight w:val="none"/>
                <w:lang w:val="en-US" w:eastAsia="zh-CN"/>
              </w:rPr>
              <w:t>规格型号</w:t>
            </w:r>
          </w:p>
        </w:tc>
        <w:tc>
          <w:tcPr>
            <w:tcW w:w="1275"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b/>
                <w:kern w:val="0"/>
                <w:sz w:val="24"/>
                <w:szCs w:val="24"/>
                <w:highlight w:val="none"/>
                <w:lang w:val="en-US" w:eastAsia="zh-CN"/>
              </w:rPr>
            </w:pPr>
            <w:r>
              <w:rPr>
                <w:rFonts w:hint="eastAsia" w:ascii="仿宋_GB2312" w:hAnsi="仿宋_GB2312" w:eastAsia="仿宋_GB2312" w:cs="仿宋_GB2312"/>
                <w:b/>
                <w:kern w:val="0"/>
                <w:sz w:val="24"/>
                <w:szCs w:val="24"/>
                <w:highlight w:val="none"/>
                <w:lang w:val="en-US" w:eastAsia="zh-Hans"/>
              </w:rPr>
              <w:t>单位</w:t>
            </w:r>
          </w:p>
        </w:tc>
        <w:tc>
          <w:tcPr>
            <w:tcW w:w="1140" w:type="dxa"/>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baseline"/>
              <w:outlineLvl w:val="9"/>
              <w:rPr>
                <w:rFonts w:hint="eastAsia" w:ascii="仿宋_GB2312" w:hAnsi="仿宋_GB2312" w:eastAsia="仿宋_GB2312" w:cs="仿宋_GB2312"/>
                <w:b/>
                <w:kern w:val="0"/>
                <w:sz w:val="24"/>
                <w:szCs w:val="24"/>
                <w:highlight w:val="none"/>
                <w:lang w:val="en-US" w:eastAsia="zh-CN"/>
              </w:rPr>
            </w:pPr>
            <w:r>
              <w:rPr>
                <w:rFonts w:hint="eastAsia" w:ascii="仿宋_GB2312" w:hAnsi="仿宋_GB2312" w:eastAsia="仿宋_GB2312" w:cs="仿宋_GB2312"/>
                <w:b/>
                <w:kern w:val="0"/>
                <w:sz w:val="24"/>
                <w:szCs w:val="24"/>
                <w:highlight w:val="none"/>
                <w:lang w:val="en-US" w:eastAsia="zh-CN"/>
              </w:rPr>
              <w:t>数量</w:t>
            </w:r>
          </w:p>
        </w:tc>
      </w:tr>
      <w:tr>
        <w:tblPrEx>
          <w:tblCellMar>
            <w:top w:w="0" w:type="dxa"/>
            <w:left w:w="108" w:type="dxa"/>
            <w:bottom w:w="0" w:type="dxa"/>
            <w:right w:w="108" w:type="dxa"/>
          </w:tblCellMar>
        </w:tblPrEx>
        <w:trPr>
          <w:trHeight w:val="90" w:hRule="atLeast"/>
        </w:trPr>
        <w:tc>
          <w:tcPr>
            <w:tcW w:w="873"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充氟软管</w:t>
            </w:r>
          </w:p>
        </w:tc>
        <w:tc>
          <w:tcPr>
            <w:tcW w:w="3486"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5米、黄色，1/4SAE接头</w:t>
            </w:r>
          </w:p>
        </w:tc>
        <w:tc>
          <w:tcPr>
            <w:tcW w:w="1275"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条</w:t>
            </w:r>
          </w:p>
        </w:tc>
        <w:tc>
          <w:tcPr>
            <w:tcW w:w="1140" w:type="dxa"/>
            <w:tcBorders>
              <w:top w:val="single" w:color="auto" w:sz="4" w:space="0"/>
              <w:left w:val="nil"/>
              <w:bottom w:val="single" w:color="auto" w:sz="8"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电子称</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VES-100A</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台</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31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台虎钳</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83-067-22</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真空泵</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VRP-2DLi</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台</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水桶</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15L</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扫帚及垃圾铲</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套装</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套</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“OFN” 牌</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100*50*1mm</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快</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分类垃圾回收桶</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铜/电线/有害/其他，25L</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4</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斜口钳</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89-581-23</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水口钳</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84-867-22</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155"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尖嘴钳</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84-402-23</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平口钳</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84-415-23</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螺丝批</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92-004-23</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套</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卷尺</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30-609-23</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直尺1</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35-345-23</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直尺2</w:t>
            </w:r>
          </w:p>
        </w:tc>
        <w:tc>
          <w:tcPr>
            <w:tcW w:w="348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35-346-23</w:t>
            </w:r>
          </w:p>
        </w:tc>
        <w:tc>
          <w:tcPr>
            <w:tcW w:w="127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直角尺1</w:t>
            </w:r>
          </w:p>
        </w:tc>
        <w:tc>
          <w:tcPr>
            <w:tcW w:w="3486"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35-349-23</w:t>
            </w:r>
          </w:p>
        </w:tc>
        <w:tc>
          <w:tcPr>
            <w:tcW w:w="1275"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直角尺2</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35-350-23</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美工刀</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DL018C</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剥线钳</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84-319-22</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裸端子压接钳</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84-851-22</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连续端子压接钳</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84-845-22</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欧式端子压接钳</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84-847-22</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绝缘端子压接钳</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84-850-22</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电缆钳</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84-858-22</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圆锉</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22-380-28</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半圆挫</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22-357-28</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411"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大力钳</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84-368-23</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31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手电筒</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94-361-23</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伸缩检测镜</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78-241-23</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扳手1</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95-046</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31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扳手2</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95-047</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w:t>
            </w:r>
          </w:p>
        </w:tc>
      </w:tr>
      <w:tr>
        <w:tblPrEx>
          <w:tblCellMar>
            <w:top w:w="0" w:type="dxa"/>
            <w:left w:w="108" w:type="dxa"/>
            <w:bottom w:w="0" w:type="dxa"/>
            <w:right w:w="108" w:type="dxa"/>
          </w:tblCellMar>
        </w:tblPrEx>
        <w:trPr>
          <w:trHeight w:val="305"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扳手3</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95-048</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215"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内六角扳手</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94-163-23</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31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洛克环工具</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SDY-25B</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套</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31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铝塑管压接钳</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RKY-162-04</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剪管钳</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PC-206</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水平尺</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43-609-20</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游标卡尺</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37-200-23C</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割管器</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VTC-32</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31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小型割管器</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VTC-19</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239" w:hRule="atLeast"/>
        </w:trPr>
        <w:tc>
          <w:tcPr>
            <w:tcW w:w="87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扩口器</w:t>
            </w:r>
          </w:p>
        </w:tc>
        <w:tc>
          <w:tcPr>
            <w:tcW w:w="348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VFT-808-IN</w:t>
            </w:r>
          </w:p>
        </w:tc>
        <w:tc>
          <w:tcPr>
            <w:tcW w:w="127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177" w:hRule="atLeast"/>
        </w:trPr>
        <w:tc>
          <w:tcPr>
            <w:tcW w:w="873" w:type="dxa"/>
            <w:tcBorders>
              <w:top w:val="single" w:color="auto" w:sz="8" w:space="0"/>
              <w:left w:val="single" w:color="auto" w:sz="8" w:space="0"/>
              <w:bottom w:val="single" w:color="auto" w:sz="4"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胀管器</w:t>
            </w:r>
          </w:p>
        </w:tc>
        <w:tc>
          <w:tcPr>
            <w:tcW w:w="3486"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VST-22B</w:t>
            </w:r>
          </w:p>
        </w:tc>
        <w:tc>
          <w:tcPr>
            <w:tcW w:w="1275"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145" w:hRule="atLeast"/>
        </w:trPr>
        <w:tc>
          <w:tcPr>
            <w:tcW w:w="873"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真空计</w:t>
            </w:r>
          </w:p>
        </w:tc>
        <w:tc>
          <w:tcPr>
            <w:tcW w:w="3486"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VMV-1</w:t>
            </w:r>
          </w:p>
        </w:tc>
        <w:tc>
          <w:tcPr>
            <w:tcW w:w="1275"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歧管仪</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VRM2-0101i</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31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风速仪</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UT363BT</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31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充氟软管</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1.5米、黄色，1/4SAE接头</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条</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温湿计</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THM-01</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球阀1</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CA-1/4"SAE-B</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球阀2</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CA-1/4"SAE-Y</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球阀3</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CA-1/4"SAE-R</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31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棘轮扳手</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SW-127-C</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磁性控制器</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XK-CLQ</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小柄麻花钻头</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12mm</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31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小柄麻花钻头</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12.5mm</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麻花钻头</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09580-M19</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套</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弯管器1</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52763</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168" w:hRule="atLeast"/>
        </w:trPr>
        <w:tc>
          <w:tcPr>
            <w:tcW w:w="873" w:type="dxa"/>
            <w:tcBorders>
              <w:top w:val="nil"/>
              <w:left w:val="single" w:color="auto" w:sz="8" w:space="0"/>
              <w:bottom w:val="single" w:color="auto" w:sz="4"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弯管器2</w:t>
            </w:r>
          </w:p>
        </w:tc>
        <w:tc>
          <w:tcPr>
            <w:tcW w:w="3486"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52743</w:t>
            </w:r>
          </w:p>
        </w:tc>
        <w:tc>
          <w:tcPr>
            <w:tcW w:w="1275"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241" w:hRule="atLeast"/>
        </w:trPr>
        <w:tc>
          <w:tcPr>
            <w:tcW w:w="873" w:type="dxa"/>
            <w:tcBorders>
              <w:top w:val="single" w:color="auto" w:sz="4" w:space="0"/>
              <w:left w:val="single" w:color="auto" w:sz="8" w:space="0"/>
              <w:bottom w:val="single" w:color="auto" w:sz="4"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弯管器3</w:t>
            </w:r>
          </w:p>
        </w:tc>
        <w:tc>
          <w:tcPr>
            <w:tcW w:w="348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52773</w:t>
            </w:r>
          </w:p>
        </w:tc>
        <w:tc>
          <w:tcPr>
            <w:tcW w:w="127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81" w:hRule="atLeast"/>
        </w:trPr>
        <w:tc>
          <w:tcPr>
            <w:tcW w:w="873"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十字螺丝批头1</w:t>
            </w:r>
          </w:p>
        </w:tc>
        <w:tc>
          <w:tcPr>
            <w:tcW w:w="3486"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65mm</w:t>
            </w:r>
          </w:p>
        </w:tc>
        <w:tc>
          <w:tcPr>
            <w:tcW w:w="1275"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条</w:t>
            </w:r>
          </w:p>
        </w:tc>
        <w:tc>
          <w:tcPr>
            <w:tcW w:w="1140"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132" w:hRule="atLeast"/>
        </w:trPr>
        <w:tc>
          <w:tcPr>
            <w:tcW w:w="873" w:type="dxa"/>
            <w:tcBorders>
              <w:top w:val="nil"/>
              <w:left w:val="single" w:color="auto" w:sz="8" w:space="0"/>
              <w:bottom w:val="single" w:color="auto" w:sz="4"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十字螺丝批头2</w:t>
            </w:r>
          </w:p>
        </w:tc>
        <w:tc>
          <w:tcPr>
            <w:tcW w:w="3486"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110mm</w:t>
            </w:r>
          </w:p>
        </w:tc>
        <w:tc>
          <w:tcPr>
            <w:tcW w:w="1275"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条</w:t>
            </w:r>
          </w:p>
        </w:tc>
        <w:tc>
          <w:tcPr>
            <w:tcW w:w="1140"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200" w:hRule="atLeast"/>
        </w:trPr>
        <w:tc>
          <w:tcPr>
            <w:tcW w:w="873"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十字螺丝批头3</w:t>
            </w:r>
          </w:p>
        </w:tc>
        <w:tc>
          <w:tcPr>
            <w:tcW w:w="3486"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150mm</w:t>
            </w:r>
          </w:p>
        </w:tc>
        <w:tc>
          <w:tcPr>
            <w:tcW w:w="1275"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条</w:t>
            </w:r>
          </w:p>
        </w:tc>
        <w:tc>
          <w:tcPr>
            <w:tcW w:w="1140"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157" w:hRule="atLeast"/>
        </w:trPr>
        <w:tc>
          <w:tcPr>
            <w:tcW w:w="873" w:type="dxa"/>
            <w:tcBorders>
              <w:top w:val="nil"/>
              <w:left w:val="single" w:color="auto" w:sz="8" w:space="0"/>
              <w:bottom w:val="single" w:color="auto" w:sz="4"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剥线钳</w:t>
            </w:r>
          </w:p>
        </w:tc>
        <w:tc>
          <w:tcPr>
            <w:tcW w:w="3486"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8PK-325B</w:t>
            </w:r>
          </w:p>
        </w:tc>
        <w:tc>
          <w:tcPr>
            <w:tcW w:w="1275"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175" w:hRule="atLeast"/>
        </w:trPr>
        <w:tc>
          <w:tcPr>
            <w:tcW w:w="873"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手电钻</w:t>
            </w:r>
          </w:p>
        </w:tc>
        <w:tc>
          <w:tcPr>
            <w:tcW w:w="3486"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GSB-185-LI</w:t>
            </w:r>
          </w:p>
        </w:tc>
        <w:tc>
          <w:tcPr>
            <w:tcW w:w="1275"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31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试电笔</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2897</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31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钳形表</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UT210A</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9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倒角器</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NG3100</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230" w:hRule="atLeast"/>
        </w:trPr>
        <w:tc>
          <w:tcPr>
            <w:tcW w:w="87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剪刀</w:t>
            </w:r>
          </w:p>
        </w:tc>
        <w:tc>
          <w:tcPr>
            <w:tcW w:w="348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7111A-2</w:t>
            </w:r>
          </w:p>
        </w:tc>
        <w:tc>
          <w:tcPr>
            <w:tcW w:w="127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102" w:hRule="atLeast"/>
        </w:trPr>
        <w:tc>
          <w:tcPr>
            <w:tcW w:w="87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开孔器1</w:t>
            </w:r>
          </w:p>
        </w:tc>
        <w:tc>
          <w:tcPr>
            <w:tcW w:w="3486"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16</w:t>
            </w:r>
          </w:p>
        </w:tc>
        <w:tc>
          <w:tcPr>
            <w:tcW w:w="1275"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130" w:hRule="atLeast"/>
        </w:trPr>
        <w:tc>
          <w:tcPr>
            <w:tcW w:w="873" w:type="dxa"/>
            <w:tcBorders>
              <w:top w:val="nil"/>
              <w:left w:val="single" w:color="auto" w:sz="8" w:space="0"/>
              <w:bottom w:val="single" w:color="auto" w:sz="8"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开孔器2</w:t>
            </w:r>
          </w:p>
        </w:tc>
        <w:tc>
          <w:tcPr>
            <w:tcW w:w="3486"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50</w:t>
            </w:r>
          </w:p>
        </w:tc>
        <w:tc>
          <w:tcPr>
            <w:tcW w:w="1275"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129" w:hRule="atLeast"/>
        </w:trPr>
        <w:tc>
          <w:tcPr>
            <w:tcW w:w="873" w:type="dxa"/>
            <w:tcBorders>
              <w:top w:val="single" w:color="auto" w:sz="4" w:space="0"/>
              <w:left w:val="single" w:color="auto" w:sz="8" w:space="0"/>
              <w:bottom w:val="single" w:color="auto" w:sz="4"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万用表</w:t>
            </w:r>
          </w:p>
        </w:tc>
        <w:tc>
          <w:tcPr>
            <w:tcW w:w="348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UT533</w:t>
            </w:r>
          </w:p>
        </w:tc>
        <w:tc>
          <w:tcPr>
            <w:tcW w:w="127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套</w:t>
            </w:r>
          </w:p>
        </w:tc>
        <w:tc>
          <w:tcPr>
            <w:tcW w:w="114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203" w:hRule="atLeast"/>
        </w:trPr>
        <w:tc>
          <w:tcPr>
            <w:tcW w:w="873" w:type="dxa"/>
            <w:tcBorders>
              <w:top w:val="single" w:color="auto" w:sz="4" w:space="0"/>
              <w:left w:val="single" w:color="auto" w:sz="8" w:space="0"/>
              <w:bottom w:val="single" w:color="auto" w:sz="4"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温度计</w:t>
            </w:r>
          </w:p>
        </w:tc>
        <w:tc>
          <w:tcPr>
            <w:tcW w:w="348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UT320D</w:t>
            </w:r>
          </w:p>
        </w:tc>
        <w:tc>
          <w:tcPr>
            <w:tcW w:w="127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310" w:hRule="atLeast"/>
        </w:trPr>
        <w:tc>
          <w:tcPr>
            <w:tcW w:w="873" w:type="dxa"/>
            <w:tcBorders>
              <w:top w:val="single" w:color="auto" w:sz="4" w:space="0"/>
              <w:left w:val="single" w:color="auto" w:sz="8" w:space="0"/>
              <w:bottom w:val="single" w:color="auto" w:sz="4"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插板</w:t>
            </w:r>
          </w:p>
        </w:tc>
        <w:tc>
          <w:tcPr>
            <w:tcW w:w="348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B5040</w:t>
            </w:r>
          </w:p>
        </w:tc>
        <w:tc>
          <w:tcPr>
            <w:tcW w:w="127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310" w:hRule="atLeast"/>
        </w:trPr>
        <w:tc>
          <w:tcPr>
            <w:tcW w:w="873" w:type="dxa"/>
            <w:tcBorders>
              <w:top w:val="single" w:color="auto" w:sz="4" w:space="0"/>
              <w:left w:val="single" w:color="auto" w:sz="8" w:space="0"/>
              <w:bottom w:val="single" w:color="auto" w:sz="4"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收纳盒</w:t>
            </w:r>
          </w:p>
        </w:tc>
        <w:tc>
          <w:tcPr>
            <w:tcW w:w="348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14022-23</w:t>
            </w:r>
          </w:p>
        </w:tc>
        <w:tc>
          <w:tcPr>
            <w:tcW w:w="127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310" w:hRule="atLeast"/>
        </w:trPr>
        <w:tc>
          <w:tcPr>
            <w:tcW w:w="873" w:type="dxa"/>
            <w:tcBorders>
              <w:top w:val="single" w:color="auto" w:sz="4" w:space="0"/>
              <w:left w:val="single" w:color="auto" w:sz="8" w:space="0"/>
              <w:bottom w:val="single" w:color="auto" w:sz="4"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工具车</w:t>
            </w:r>
          </w:p>
        </w:tc>
        <w:tc>
          <w:tcPr>
            <w:tcW w:w="348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74306-8-23</w:t>
            </w:r>
          </w:p>
        </w:tc>
        <w:tc>
          <w:tcPr>
            <w:tcW w:w="127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辆</w:t>
            </w:r>
          </w:p>
        </w:tc>
        <w:tc>
          <w:tcPr>
            <w:tcW w:w="114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310" w:hRule="atLeast"/>
        </w:trPr>
        <w:tc>
          <w:tcPr>
            <w:tcW w:w="873" w:type="dxa"/>
            <w:tcBorders>
              <w:top w:val="single" w:color="auto" w:sz="4" w:space="0"/>
              <w:left w:val="single" w:color="auto" w:sz="8" w:space="0"/>
              <w:bottom w:val="single" w:color="auto" w:sz="4"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冷媒检漏仪</w:t>
            </w:r>
          </w:p>
        </w:tc>
        <w:tc>
          <w:tcPr>
            <w:tcW w:w="348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VML-1</w:t>
            </w:r>
          </w:p>
        </w:tc>
        <w:tc>
          <w:tcPr>
            <w:tcW w:w="127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个</w:t>
            </w:r>
          </w:p>
        </w:tc>
        <w:tc>
          <w:tcPr>
            <w:tcW w:w="114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r>
        <w:tblPrEx>
          <w:tblCellMar>
            <w:top w:w="0" w:type="dxa"/>
            <w:left w:w="108" w:type="dxa"/>
            <w:bottom w:w="0" w:type="dxa"/>
            <w:right w:w="108" w:type="dxa"/>
          </w:tblCellMar>
        </w:tblPrEx>
        <w:trPr>
          <w:trHeight w:val="143" w:hRule="atLeast"/>
        </w:trPr>
        <w:tc>
          <w:tcPr>
            <w:tcW w:w="873" w:type="dxa"/>
            <w:tcBorders>
              <w:top w:val="single" w:color="auto" w:sz="4" w:space="0"/>
              <w:left w:val="single" w:color="auto" w:sz="8" w:space="0"/>
              <w:bottom w:val="single" w:color="auto" w:sz="4" w:space="0"/>
              <w:right w:val="single" w:color="auto" w:sz="8" w:space="0"/>
            </w:tcBorders>
            <w:vAlign w:val="center"/>
          </w:tcPr>
          <w:p>
            <w:pPr>
              <w:keepNext w:val="0"/>
              <w:keepLines w:val="0"/>
              <w:pageBreakBefore w:val="0"/>
              <w:numPr>
                <w:ilvl w:val="0"/>
                <w:numId w:val="2"/>
              </w:numPr>
              <w:kinsoku/>
              <w:wordWrap/>
              <w:overflowPunct/>
              <w:topLinePunct w:val="0"/>
              <w:autoSpaceDE/>
              <w:autoSpaceDN/>
              <w:bidi w:val="0"/>
              <w:spacing w:line="360" w:lineRule="auto"/>
              <w:ind w:left="425" w:leftChars="0" w:hanging="425" w:firstLineChars="0"/>
              <w:jc w:val="center"/>
              <w:textAlignment w:val="baseline"/>
              <w:outlineLvl w:val="9"/>
              <w:rPr>
                <w:rFonts w:hint="eastAsia" w:ascii="仿宋_GB2312" w:hAnsi="仿宋_GB2312" w:eastAsia="仿宋_GB2312" w:cs="仿宋_GB2312"/>
                <w:kern w:val="0"/>
                <w:sz w:val="24"/>
                <w:szCs w:val="24"/>
                <w:highlight w:val="none"/>
                <w:lang w:val="en-US" w:eastAsia="zh-CN"/>
              </w:rPr>
            </w:pPr>
          </w:p>
        </w:tc>
        <w:tc>
          <w:tcPr>
            <w:tcW w:w="232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一字螺丝刀</w:t>
            </w:r>
          </w:p>
        </w:tc>
        <w:tc>
          <w:tcPr>
            <w:tcW w:w="348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66-316-23</w:t>
            </w:r>
          </w:p>
        </w:tc>
        <w:tc>
          <w:tcPr>
            <w:tcW w:w="127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把</w:t>
            </w:r>
          </w:p>
        </w:tc>
        <w:tc>
          <w:tcPr>
            <w:tcW w:w="114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360" w:lineRule="auto"/>
              <w:textAlignment w:val="baseline"/>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r>
    </w:tbl>
    <w:p>
      <w:pPr>
        <w:keepNext w:val="0"/>
        <w:keepLines w:val="0"/>
        <w:pageBreakBefore w:val="0"/>
        <w:kinsoku/>
        <w:wordWrap/>
        <w:overflowPunct/>
        <w:topLinePunct w:val="0"/>
        <w:autoSpaceDE/>
        <w:autoSpaceDN/>
        <w:bidi w:val="0"/>
        <w:spacing w:line="360" w:lineRule="auto"/>
        <w:ind w:firstLine="480" w:firstLineChars="200"/>
        <w:outlineLvl w:val="9"/>
        <w:rPr>
          <w:rFonts w:hint="eastAsia" w:ascii="仿宋_GB2312" w:hAnsi="仿宋_GB2312" w:eastAsia="仿宋_GB2312" w:cs="仿宋_GB2312"/>
          <w:kern w:val="0"/>
          <w:sz w:val="24"/>
          <w:szCs w:val="24"/>
          <w:highlight w:val="none"/>
        </w:rPr>
      </w:pPr>
    </w:p>
    <w:p>
      <w:pPr>
        <w:keepNext w:val="0"/>
        <w:keepLines w:val="0"/>
        <w:pageBreakBefore w:val="0"/>
        <w:kinsoku/>
        <w:wordWrap/>
        <w:overflowPunct/>
        <w:topLinePunct w:val="0"/>
        <w:autoSpaceDE/>
        <w:autoSpaceDN/>
        <w:bidi w:val="0"/>
        <w:spacing w:line="360" w:lineRule="auto"/>
        <w:ind w:firstLine="482" w:firstLineChars="200"/>
        <w:outlineLvl w:val="9"/>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（二）选手自带工具</w:t>
      </w:r>
    </w:p>
    <w:tbl>
      <w:tblPr>
        <w:tblStyle w:val="1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674"/>
        <w:gridCol w:w="4747"/>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40" w:type="dxa"/>
            <w:vAlign w:val="center"/>
          </w:tcPr>
          <w:p>
            <w:pPr>
              <w:keepNext w:val="0"/>
              <w:keepLines w:val="0"/>
              <w:pageBreakBefore w:val="0"/>
              <w:kinsoku/>
              <w:wordWrap/>
              <w:overflowPunct/>
              <w:topLinePunct w:val="0"/>
              <w:autoSpaceDE/>
              <w:autoSpaceDN/>
              <w:bidi w:val="0"/>
              <w:spacing w:line="360" w:lineRule="auto"/>
              <w:jc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序号</w:t>
            </w:r>
          </w:p>
        </w:tc>
        <w:tc>
          <w:tcPr>
            <w:tcW w:w="1674" w:type="dxa"/>
            <w:vAlign w:val="center"/>
          </w:tcPr>
          <w:p>
            <w:pPr>
              <w:keepNext w:val="0"/>
              <w:keepLines w:val="0"/>
              <w:pageBreakBefore w:val="0"/>
              <w:kinsoku/>
              <w:wordWrap/>
              <w:overflowPunct/>
              <w:topLinePunct w:val="0"/>
              <w:autoSpaceDE/>
              <w:autoSpaceDN/>
              <w:bidi w:val="0"/>
              <w:spacing w:line="360" w:lineRule="auto"/>
              <w:jc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工具类型</w:t>
            </w:r>
          </w:p>
        </w:tc>
        <w:tc>
          <w:tcPr>
            <w:tcW w:w="4747" w:type="dxa"/>
            <w:vAlign w:val="center"/>
          </w:tcPr>
          <w:p>
            <w:pPr>
              <w:keepNext w:val="0"/>
              <w:keepLines w:val="0"/>
              <w:pageBreakBefore w:val="0"/>
              <w:kinsoku/>
              <w:wordWrap/>
              <w:overflowPunct/>
              <w:topLinePunct w:val="0"/>
              <w:autoSpaceDE/>
              <w:autoSpaceDN/>
              <w:bidi w:val="0"/>
              <w:spacing w:line="360" w:lineRule="auto"/>
              <w:jc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工具</w:t>
            </w:r>
          </w:p>
        </w:tc>
        <w:tc>
          <w:tcPr>
            <w:tcW w:w="999" w:type="dxa"/>
            <w:vAlign w:val="center"/>
          </w:tcPr>
          <w:p>
            <w:pPr>
              <w:keepNext w:val="0"/>
              <w:keepLines w:val="0"/>
              <w:pageBreakBefore w:val="0"/>
              <w:kinsoku/>
              <w:wordWrap/>
              <w:overflowPunct/>
              <w:topLinePunct w:val="0"/>
              <w:autoSpaceDE/>
              <w:autoSpaceDN/>
              <w:bidi w:val="0"/>
              <w:spacing w:line="360" w:lineRule="auto"/>
              <w:jc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40" w:type="dxa"/>
            <w:vAlign w:val="center"/>
          </w:tcPr>
          <w:p>
            <w:pPr>
              <w:keepNext w:val="0"/>
              <w:keepLines w:val="0"/>
              <w:pageBreakBefore w:val="0"/>
              <w:kinsoku/>
              <w:wordWrap/>
              <w:overflowPunct/>
              <w:topLinePunct w:val="0"/>
              <w:autoSpaceDE/>
              <w:autoSpaceDN/>
              <w:bidi w:val="0"/>
              <w:spacing w:line="360" w:lineRule="auto"/>
              <w:jc w:val="center"/>
              <w:outlineLvl w:val="9"/>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val="en-US" w:eastAsia="zh-CN"/>
              </w:rPr>
              <w:t>1</w:t>
            </w:r>
          </w:p>
        </w:tc>
        <w:tc>
          <w:tcPr>
            <w:tcW w:w="1674" w:type="dxa"/>
            <w:vAlign w:val="center"/>
          </w:tcPr>
          <w:p>
            <w:pPr>
              <w:keepNext w:val="0"/>
              <w:keepLines w:val="0"/>
              <w:pageBreakBefore w:val="0"/>
              <w:kinsoku/>
              <w:wordWrap/>
              <w:overflowPunct/>
              <w:topLinePunct w:val="0"/>
              <w:autoSpaceDE/>
              <w:autoSpaceDN/>
              <w:bidi w:val="0"/>
              <w:spacing w:line="360" w:lineRule="auto"/>
              <w:jc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文具</w:t>
            </w:r>
          </w:p>
        </w:tc>
        <w:tc>
          <w:tcPr>
            <w:tcW w:w="4747" w:type="dxa"/>
            <w:vAlign w:val="center"/>
          </w:tcPr>
          <w:p>
            <w:pPr>
              <w:keepNext w:val="0"/>
              <w:keepLines w:val="0"/>
              <w:pageBreakBefore w:val="0"/>
              <w:kinsoku/>
              <w:wordWrap/>
              <w:overflowPunct/>
              <w:topLinePunct w:val="0"/>
              <w:autoSpaceDE/>
              <w:autoSpaceDN/>
              <w:bidi w:val="0"/>
              <w:spacing w:line="360" w:lineRule="auto"/>
              <w:jc w:val="left"/>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黑色钢笔或签字笔、铅笔、橡皮擦、尺子等，禁止携带使用红色笔。</w:t>
            </w:r>
          </w:p>
        </w:tc>
        <w:tc>
          <w:tcPr>
            <w:tcW w:w="999" w:type="dxa"/>
            <w:vAlign w:val="center"/>
          </w:tcPr>
          <w:p>
            <w:pPr>
              <w:keepNext w:val="0"/>
              <w:keepLines w:val="0"/>
              <w:pageBreakBefore w:val="0"/>
              <w:kinsoku/>
              <w:wordWrap/>
              <w:overflowPunct/>
              <w:topLinePunct w:val="0"/>
              <w:autoSpaceDE/>
              <w:autoSpaceDN/>
              <w:bidi w:val="0"/>
              <w:spacing w:line="360" w:lineRule="auto"/>
              <w:jc w:val="center"/>
              <w:outlineLvl w:val="9"/>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40" w:type="dxa"/>
            <w:vAlign w:val="center"/>
          </w:tcPr>
          <w:p>
            <w:pPr>
              <w:keepNext w:val="0"/>
              <w:keepLines w:val="0"/>
              <w:pageBreakBefore w:val="0"/>
              <w:kinsoku/>
              <w:wordWrap/>
              <w:overflowPunct/>
              <w:topLinePunct w:val="0"/>
              <w:autoSpaceDE/>
              <w:autoSpaceDN/>
              <w:bidi w:val="0"/>
              <w:spacing w:line="360" w:lineRule="auto"/>
              <w:jc w:val="center"/>
              <w:outlineLvl w:val="9"/>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val="en-US" w:eastAsia="zh-CN"/>
              </w:rPr>
              <w:t>2</w:t>
            </w:r>
          </w:p>
        </w:tc>
        <w:tc>
          <w:tcPr>
            <w:tcW w:w="1674" w:type="dxa"/>
            <w:vAlign w:val="center"/>
          </w:tcPr>
          <w:p>
            <w:pPr>
              <w:keepNext w:val="0"/>
              <w:keepLines w:val="0"/>
              <w:pageBreakBefore w:val="0"/>
              <w:kinsoku/>
              <w:wordWrap/>
              <w:overflowPunct/>
              <w:topLinePunct w:val="0"/>
              <w:autoSpaceDE/>
              <w:autoSpaceDN/>
              <w:bidi w:val="0"/>
              <w:spacing w:line="360" w:lineRule="auto"/>
              <w:jc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防护用品</w:t>
            </w:r>
          </w:p>
        </w:tc>
        <w:tc>
          <w:tcPr>
            <w:tcW w:w="4747" w:type="dxa"/>
            <w:vAlign w:val="center"/>
          </w:tcPr>
          <w:p>
            <w:pPr>
              <w:keepNext w:val="0"/>
              <w:keepLines w:val="0"/>
              <w:pageBreakBefore w:val="0"/>
              <w:kinsoku/>
              <w:wordWrap/>
              <w:overflowPunct/>
              <w:topLinePunct w:val="0"/>
              <w:autoSpaceDE/>
              <w:autoSpaceDN/>
              <w:bidi w:val="0"/>
              <w:spacing w:line="360" w:lineRule="auto"/>
              <w:jc w:val="left"/>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安全帽、</w:t>
            </w:r>
            <w:r>
              <w:rPr>
                <w:rFonts w:hint="eastAsia" w:ascii="仿宋_GB2312" w:hAnsi="仿宋_GB2312" w:eastAsia="仿宋_GB2312" w:cs="仿宋_GB2312"/>
                <w:color w:val="auto"/>
                <w:sz w:val="24"/>
                <w:szCs w:val="24"/>
                <w:highlight w:val="none"/>
                <w:lang w:val="en-US" w:eastAsia="zh-CN"/>
              </w:rPr>
              <w:t>劳保</w:t>
            </w:r>
            <w:r>
              <w:rPr>
                <w:rFonts w:hint="eastAsia" w:ascii="仿宋_GB2312" w:hAnsi="仿宋_GB2312" w:eastAsia="仿宋_GB2312" w:cs="仿宋_GB2312"/>
                <w:color w:val="auto"/>
                <w:sz w:val="24"/>
                <w:szCs w:val="24"/>
                <w:highlight w:val="none"/>
              </w:rPr>
              <w:t>鞋、防割手套、绝缘手套、防冻手套、防护目镜。</w:t>
            </w:r>
          </w:p>
        </w:tc>
        <w:tc>
          <w:tcPr>
            <w:tcW w:w="999" w:type="dxa"/>
            <w:vAlign w:val="center"/>
          </w:tcPr>
          <w:p>
            <w:pPr>
              <w:keepNext w:val="0"/>
              <w:keepLines w:val="0"/>
              <w:pageBreakBefore w:val="0"/>
              <w:kinsoku/>
              <w:wordWrap/>
              <w:overflowPunct/>
              <w:topLinePunct w:val="0"/>
              <w:autoSpaceDE/>
              <w:autoSpaceDN/>
              <w:bidi w:val="0"/>
              <w:spacing w:line="360" w:lineRule="auto"/>
              <w:jc w:val="center"/>
              <w:outlineLvl w:val="9"/>
              <w:rPr>
                <w:rFonts w:hint="eastAsia" w:ascii="仿宋_GB2312" w:hAnsi="仿宋_GB2312" w:eastAsia="仿宋_GB2312" w:cs="仿宋_GB2312"/>
                <w:bCs/>
                <w:color w:val="auto"/>
                <w:kern w:val="0"/>
                <w:sz w:val="24"/>
                <w:szCs w:val="24"/>
                <w:highlight w:val="none"/>
              </w:rPr>
            </w:pPr>
          </w:p>
        </w:tc>
      </w:tr>
    </w:tbl>
    <w:p>
      <w:pPr>
        <w:keepNext w:val="0"/>
        <w:keepLines w:val="0"/>
        <w:pageBreakBefore w:val="0"/>
        <w:kinsoku/>
        <w:wordWrap/>
        <w:overflowPunct/>
        <w:topLinePunct w:val="0"/>
        <w:autoSpaceDE/>
        <w:autoSpaceDN/>
        <w:bidi w:val="0"/>
        <w:snapToGrid w:val="0"/>
        <w:spacing w:line="360" w:lineRule="auto"/>
        <w:ind w:firstLine="529" w:firstLineChars="189"/>
        <w:jc w:val="center"/>
        <w:outlineLvl w:val="9"/>
        <w:rPr>
          <w:rFonts w:hint="eastAsia" w:ascii="仿宋_GB2312" w:hAnsi="仿宋_GB2312" w:eastAsia="仿宋_GB2312" w:cs="仿宋_GB2312"/>
          <w:kern w:val="0"/>
          <w:sz w:val="28"/>
          <w:szCs w:val="28"/>
          <w:highlight w:val="none"/>
        </w:rPr>
      </w:pPr>
    </w:p>
    <w:p>
      <w:pPr>
        <w:keepNext w:val="0"/>
        <w:keepLines w:val="0"/>
        <w:pageBreakBefore w:val="0"/>
        <w:kinsoku/>
        <w:wordWrap/>
        <w:overflowPunct/>
        <w:topLinePunct w:val="0"/>
        <w:autoSpaceDE/>
        <w:autoSpaceDN/>
        <w:bidi w:val="0"/>
        <w:snapToGrid w:val="0"/>
        <w:spacing w:line="360" w:lineRule="auto"/>
        <w:ind w:firstLine="453" w:firstLineChars="189"/>
        <w:outlineLvl w:val="9"/>
        <w:rPr>
          <w:rFonts w:ascii="黑体" w:hAnsi="黑体" w:eastAsia="黑体"/>
          <w:spacing w:val="-7"/>
          <w:sz w:val="24"/>
          <w:szCs w:val="24"/>
          <w:highlight w:val="none"/>
        </w:rPr>
      </w:pPr>
      <w:r>
        <w:rPr>
          <w:rFonts w:hint="eastAsia" w:ascii="黑体" w:hAnsi="黑体" w:eastAsia="黑体"/>
          <w:sz w:val="24"/>
          <w:szCs w:val="24"/>
          <w:highlight w:val="none"/>
        </w:rPr>
        <w:t>十一</w:t>
      </w:r>
      <w:r>
        <w:rPr>
          <w:rFonts w:hint="eastAsia" w:ascii="黑体" w:hAnsi="黑体" w:eastAsia="黑体"/>
          <w:spacing w:val="-29"/>
          <w:sz w:val="24"/>
          <w:szCs w:val="24"/>
          <w:highlight w:val="none"/>
        </w:rPr>
        <w:t>、</w:t>
      </w:r>
      <w:r>
        <w:rPr>
          <w:rFonts w:hint="eastAsia" w:ascii="黑体" w:hAnsi="黑体" w:eastAsia="黑体"/>
          <w:spacing w:val="-7"/>
          <w:sz w:val="24"/>
          <w:szCs w:val="24"/>
          <w:highlight w:val="none"/>
        </w:rPr>
        <w:t>成绩评定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（一）评分标准的制订原则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在赛项执委会的领导下，赛前组织专家组制定评分细则。评分采取现场操作评价方式评判，赛项总成绩满分为100分。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1.根据赛项规程的成绩评定项目与配分比例，拟定成绩评分的一级目录。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w:t>
      </w:r>
      <w:r>
        <w:rPr>
          <w:rFonts w:ascii="仿宋_GB2312" w:hAnsi="仿宋_GB2312" w:eastAsia="仿宋_GB2312" w:cs="仿宋_GB2312"/>
          <w:kern w:val="0"/>
          <w:sz w:val="24"/>
          <w:szCs w:val="24"/>
          <w:highlight w:val="none"/>
        </w:rPr>
        <w:t>根据工程验收规范与国家标准，结合技能竞赛过程中选手的</w:t>
      </w:r>
      <w:r>
        <w:rPr>
          <w:rFonts w:hint="eastAsia" w:ascii="仿宋_GB2312" w:hAnsi="仿宋_GB2312" w:eastAsia="仿宋_GB2312" w:cs="仿宋_GB2312"/>
          <w:kern w:val="0"/>
          <w:sz w:val="24"/>
          <w:szCs w:val="24"/>
          <w:highlight w:val="none"/>
        </w:rPr>
        <w:t>职业</w:t>
      </w:r>
      <w:r>
        <w:rPr>
          <w:rFonts w:ascii="仿宋_GB2312" w:hAnsi="仿宋_GB2312" w:eastAsia="仿宋_GB2312" w:cs="仿宋_GB2312"/>
          <w:kern w:val="0"/>
          <w:sz w:val="24"/>
          <w:szCs w:val="24"/>
          <w:highlight w:val="none"/>
        </w:rPr>
        <w:t>素养全面评价选手职业能力要求，确定评分的二级目录。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w:t>
      </w:r>
      <w:r>
        <w:rPr>
          <w:rFonts w:ascii="仿宋_GB2312" w:hAnsi="仿宋_GB2312" w:eastAsia="仿宋_GB2312" w:cs="仿宋_GB2312"/>
          <w:kern w:val="0"/>
          <w:sz w:val="24"/>
          <w:szCs w:val="24"/>
          <w:highlight w:val="none"/>
        </w:rPr>
        <w:t>分解评分二级目录中包含的知识</w:t>
      </w:r>
      <w:r>
        <w:rPr>
          <w:rFonts w:hint="eastAsia" w:ascii="仿宋_GB2312" w:hAnsi="仿宋_GB2312" w:eastAsia="仿宋_GB2312" w:cs="仿宋_GB2312"/>
          <w:kern w:val="0"/>
          <w:sz w:val="24"/>
          <w:szCs w:val="24"/>
          <w:highlight w:val="none"/>
        </w:rPr>
        <w:t>点</w:t>
      </w:r>
      <w:r>
        <w:rPr>
          <w:rFonts w:ascii="仿宋_GB2312" w:hAnsi="仿宋_GB2312" w:eastAsia="仿宋_GB2312" w:cs="仿宋_GB2312"/>
          <w:kern w:val="0"/>
          <w:sz w:val="24"/>
          <w:szCs w:val="24"/>
          <w:highlight w:val="none"/>
        </w:rPr>
        <w:t>、技能点，参考世界技能大赛的评价模式，拟定评分的三级目录。</w:t>
      </w:r>
    </w:p>
    <w:p>
      <w:pPr>
        <w:keepNext w:val="0"/>
        <w:keepLines w:val="0"/>
        <w:pageBreakBefore w:val="0"/>
        <w:kinsoku/>
        <w:wordWrap/>
        <w:overflowPunct/>
        <w:topLinePunct w:val="0"/>
        <w:autoSpaceDE/>
        <w:autoSpaceDN/>
        <w:bidi w:val="0"/>
        <w:spacing w:line="360" w:lineRule="auto"/>
        <w:ind w:firstLine="482" w:firstLineChars="200"/>
        <w:outlineLvl w:val="9"/>
        <w:rPr>
          <w:rFonts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（二）评分方法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1.赛项裁判组负责赛项成绩评定工作，本着“公平、公正、公开、科学、规范、透明、无异议”的原则。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2.裁判组实行“裁判长负责制”，设裁判长</w:t>
      </w:r>
      <w:r>
        <w:rPr>
          <w:rFonts w:ascii="仿宋_GB2312" w:hAnsi="仿宋_GB2312" w:eastAsia="仿宋_GB2312" w:cs="仿宋_GB2312"/>
          <w:kern w:val="0"/>
          <w:sz w:val="24"/>
          <w:szCs w:val="24"/>
          <w:highlight w:val="none"/>
        </w:rPr>
        <w:t>1</w:t>
      </w:r>
      <w:r>
        <w:rPr>
          <w:rFonts w:hint="eastAsia" w:ascii="仿宋_GB2312" w:hAnsi="仿宋_GB2312" w:eastAsia="仿宋_GB2312" w:cs="仿宋_GB2312"/>
          <w:kern w:val="0"/>
          <w:sz w:val="24"/>
          <w:szCs w:val="24"/>
          <w:highlight w:val="none"/>
        </w:rPr>
        <w:t>名，全面负责赛项的裁判与管理工作。赛前对裁判进行赛前的培训，统一执裁标准。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3.裁判员根据比赛工作需要分为检录裁判、加密裁判、现场裁判和评分裁判，检录裁判、加密裁判不得参与评分工作。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（1）检录裁判负责对参赛选手进行点名登记、身份核对等工作。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（2）加密裁判负责组织参赛选手抽签并对参赛选手的信息进行加密、解密。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（3）现场裁判按规定做好赛场记录并维护赛场纪律。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①对参赛选手在比赛过程中记录的数据、操作情况进行评价及签字确认。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②对参赛选手在比赛过程中的安全文明生产、安装规范等情况进行观察和记录。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③对参赛选手在比赛过程中的违规操作或未按要求操作，如吹污、检漏、抽真空、检测方法等情况进行观察和记录。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（4）评分裁判负责对参赛选手的最终作品、技能展示、操作规范等按照评分标准进行评定。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FF0000"/>
          <w:kern w:val="0"/>
          <w:sz w:val="24"/>
          <w:szCs w:val="24"/>
          <w:highlight w:val="none"/>
        </w:rPr>
      </w:pPr>
      <w:r>
        <w:rPr>
          <w:rFonts w:hint="eastAsia" w:ascii="仿宋_GB2312" w:hAnsi="仿宋_GB2312" w:eastAsia="仿宋_GB2312" w:cs="仿宋_GB2312"/>
          <w:kern w:val="0"/>
          <w:sz w:val="24"/>
          <w:szCs w:val="24"/>
          <w:highlight w:val="none"/>
        </w:rPr>
        <w:t xml:space="preserve">① </w:t>
      </w:r>
      <w:r>
        <w:rPr>
          <w:rFonts w:ascii="仿宋_GB2312" w:hAnsi="仿宋_GB2312" w:eastAsia="仿宋_GB2312" w:cs="仿宋_GB2312"/>
          <w:kern w:val="0"/>
          <w:sz w:val="24"/>
          <w:szCs w:val="24"/>
          <w:highlight w:val="none"/>
        </w:rPr>
        <w:t>裁判长根据</w:t>
      </w:r>
      <w:r>
        <w:rPr>
          <w:rFonts w:hint="eastAsia" w:ascii="仿宋_GB2312" w:hAnsi="仿宋_GB2312" w:eastAsia="仿宋_GB2312" w:cs="仿宋_GB2312"/>
          <w:kern w:val="0"/>
          <w:sz w:val="24"/>
          <w:szCs w:val="24"/>
          <w:highlight w:val="none"/>
        </w:rPr>
        <w:t>各位</w:t>
      </w:r>
      <w:r>
        <w:rPr>
          <w:rFonts w:ascii="仿宋_GB2312" w:hAnsi="仿宋_GB2312" w:eastAsia="仿宋_GB2312" w:cs="仿宋_GB2312"/>
          <w:kern w:val="0"/>
          <w:sz w:val="24"/>
          <w:szCs w:val="24"/>
          <w:highlight w:val="none"/>
        </w:rPr>
        <w:t>裁判的专业</w:t>
      </w:r>
      <w:r>
        <w:rPr>
          <w:rFonts w:hint="eastAsia" w:ascii="仿宋_GB2312" w:hAnsi="仿宋_GB2312" w:eastAsia="仿宋_GB2312" w:cs="仿宋_GB2312"/>
          <w:kern w:val="0"/>
          <w:sz w:val="24"/>
          <w:szCs w:val="24"/>
          <w:highlight w:val="none"/>
        </w:rPr>
        <w:t>及</w:t>
      </w:r>
      <w:r>
        <w:rPr>
          <w:rFonts w:ascii="仿宋_GB2312" w:hAnsi="仿宋_GB2312" w:eastAsia="仿宋_GB2312" w:cs="仿宋_GB2312"/>
          <w:kern w:val="0"/>
          <w:sz w:val="24"/>
          <w:szCs w:val="24"/>
          <w:highlight w:val="none"/>
        </w:rPr>
        <w:t>技术特长</w:t>
      </w:r>
      <w:r>
        <w:rPr>
          <w:rFonts w:hint="eastAsia" w:ascii="仿宋_GB2312" w:hAnsi="仿宋_GB2312" w:eastAsia="仿宋_GB2312" w:cs="仿宋_GB2312"/>
          <w:kern w:val="0"/>
          <w:sz w:val="24"/>
          <w:szCs w:val="24"/>
          <w:highlight w:val="none"/>
        </w:rPr>
        <w:t>，</w:t>
      </w:r>
      <w:r>
        <w:rPr>
          <w:rFonts w:ascii="仿宋_GB2312" w:hAnsi="仿宋_GB2312" w:eastAsia="仿宋_GB2312" w:cs="仿宋_GB2312"/>
          <w:kern w:val="0"/>
          <w:sz w:val="24"/>
          <w:szCs w:val="24"/>
          <w:highlight w:val="none"/>
        </w:rPr>
        <w:t>评分工作量的大小，</w:t>
      </w:r>
      <w:r>
        <w:rPr>
          <w:rFonts w:hint="eastAsia" w:ascii="仿宋_GB2312" w:hAnsi="仿宋_GB2312" w:eastAsia="仿宋_GB2312" w:cs="仿宋_GB2312"/>
          <w:kern w:val="0"/>
          <w:sz w:val="24"/>
          <w:szCs w:val="24"/>
          <w:highlight w:val="none"/>
        </w:rPr>
        <w:t>进行人员</w:t>
      </w:r>
      <w:r>
        <w:rPr>
          <w:rFonts w:ascii="仿宋_GB2312" w:hAnsi="仿宋_GB2312" w:eastAsia="仿宋_GB2312" w:cs="仿宋_GB2312"/>
          <w:kern w:val="0"/>
          <w:sz w:val="24"/>
          <w:szCs w:val="24"/>
          <w:highlight w:val="none"/>
        </w:rPr>
        <w:t>安排和分工。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② </w:t>
      </w:r>
      <w:r>
        <w:rPr>
          <w:rFonts w:ascii="仿宋_GB2312" w:hAnsi="仿宋_GB2312" w:eastAsia="仿宋_GB2312" w:cs="仿宋_GB2312"/>
          <w:kern w:val="0"/>
          <w:sz w:val="24"/>
          <w:szCs w:val="24"/>
          <w:highlight w:val="none"/>
        </w:rPr>
        <w:t>评分小组的工作流程</w:t>
      </w:r>
      <w:r>
        <w:rPr>
          <w:rFonts w:hint="eastAsia" w:ascii="仿宋_GB2312" w:hAnsi="仿宋_GB2312" w:eastAsia="仿宋_GB2312" w:cs="仿宋_GB2312"/>
          <w:kern w:val="0"/>
          <w:sz w:val="24"/>
          <w:szCs w:val="24"/>
          <w:highlight w:val="none"/>
        </w:rPr>
        <w:t>：</w:t>
      </w:r>
    </w:p>
    <w:p>
      <w:pPr>
        <w:keepNext w:val="0"/>
        <w:keepLines w:val="0"/>
        <w:pageBreakBefore w:val="0"/>
        <w:kinsoku/>
        <w:wordWrap/>
        <w:overflowPunct/>
        <w:topLinePunct w:val="0"/>
        <w:autoSpaceDE/>
        <w:autoSpaceDN/>
        <w:bidi w:val="0"/>
        <w:spacing w:line="360" w:lineRule="auto"/>
        <w:ind w:firstLine="315" w:firstLineChars="150"/>
        <w:jc w:val="center"/>
        <w:outlineLvl w:val="9"/>
        <w:rPr>
          <w:rFonts w:ascii="楷体_GB2312" w:hAnsi="宋体" w:eastAsia="楷体_GB2312"/>
          <w:sz w:val="24"/>
          <w:szCs w:val="24"/>
          <w:highlight w:val="none"/>
        </w:rPr>
      </w:pPr>
      <w:r>
        <w:rPr>
          <w:rFonts w:ascii="Calibri" w:hAnsi="Calibri"/>
          <w:szCs w:val="24"/>
          <w:highlight w:val="none"/>
        </w:rPr>
        <w:drawing>
          <wp:inline distT="0" distB="0" distL="114300" distR="114300">
            <wp:extent cx="4137025" cy="4260215"/>
            <wp:effectExtent l="0" t="0" r="1587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l="6332" r="31111" b="11771"/>
                    <a:stretch>
                      <a:fillRect/>
                    </a:stretch>
                  </pic:blipFill>
                  <pic:spPr>
                    <a:xfrm>
                      <a:off x="0" y="0"/>
                      <a:ext cx="4137025" cy="426021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4.评分方式结合世界技能大赛的方式，以小组为单位，裁判相互监督，对检测、评分结果进行一查、二审、三复核，确保评分环节准确、公正。</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5.按比赛成绩从高到低排列参赛队的名次。比赛成绩相同，完成工作任务所用时间少的名次在前；比赛成绩和完成工作任务用时均相同，按职业素养成绩较高的名次在前。</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default"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val="en-US" w:eastAsia="zh-CN"/>
        </w:rPr>
        <w:t>三</w:t>
      </w:r>
      <w:r>
        <w:rPr>
          <w:rFonts w:hint="eastAsia" w:ascii="仿宋_GB2312" w:hAnsi="仿宋_GB2312" w:eastAsia="仿宋_GB2312" w:cs="仿宋_GB2312"/>
          <w:kern w:val="0"/>
          <w:sz w:val="24"/>
          <w:szCs w:val="24"/>
          <w:highlight w:val="none"/>
        </w:rPr>
        <w:t>）成绩审核</w:t>
      </w:r>
      <w:r>
        <w:rPr>
          <w:rFonts w:hint="eastAsia" w:ascii="仿宋_GB2312" w:hAnsi="仿宋_GB2312" w:eastAsia="仿宋_GB2312" w:cs="仿宋_GB2312"/>
          <w:kern w:val="0"/>
          <w:sz w:val="24"/>
          <w:szCs w:val="24"/>
          <w:highlight w:val="none"/>
          <w:lang w:val="en-US" w:eastAsia="zh-CN"/>
        </w:rPr>
        <w:t>与产生</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kern w:val="0"/>
          <w:sz w:val="24"/>
          <w:szCs w:val="24"/>
          <w:highlight w:val="none"/>
        </w:rPr>
        <w:t xml:space="preserve">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 xml:space="preserve">最终成绩：最终成绩经复核无误，由裁判长、监督人员和仲裁人员签字确认后公布。为对总分在30%前的成绩进行复查。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复核无误后，由加密裁判在监督员的监督下解密。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4</w:t>
      </w:r>
      <w:r>
        <w:rPr>
          <w:rFonts w:hint="eastAsia" w:ascii="仿宋_GB2312" w:hAnsi="仿宋_GB2312" w:eastAsia="仿宋_GB2312" w:cs="仿宋_GB2312"/>
          <w:kern w:val="0"/>
          <w:sz w:val="24"/>
          <w:szCs w:val="24"/>
          <w:highlight w:val="none"/>
        </w:rPr>
        <w:t>.成绩经工作人员统计，裁判组、执委会、监督仲裁组分别核准后，在闭幕式上公布。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default"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val="en-US" w:eastAsia="zh-CN"/>
        </w:rPr>
        <w:t>四</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val="en-US" w:eastAsia="zh-CN"/>
        </w:rPr>
        <w:t>奖励办法</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 xml:space="preserve">按实际参赛人（队）数赛项设一、二、三等奖，奖项设置按实际参赛队数四舍五入方法确定，其中：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 xml:space="preserve">一等奖占参赛队数10% </w:t>
      </w:r>
      <w:bookmarkStart w:id="0" w:name="_GoBack"/>
      <w:bookmarkEnd w:id="0"/>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 xml:space="preserve">二等奖占参赛队数20%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三等奖占参赛队数30%</w:t>
      </w:r>
    </w:p>
    <w:p>
      <w:pPr>
        <w:keepNext w:val="0"/>
        <w:keepLines w:val="0"/>
        <w:pageBreakBefore w:val="0"/>
        <w:kinsoku/>
        <w:wordWrap/>
        <w:overflowPunct/>
        <w:topLinePunct w:val="0"/>
        <w:autoSpaceDE/>
        <w:autoSpaceDN/>
        <w:bidi w:val="0"/>
        <w:snapToGrid w:val="0"/>
        <w:spacing w:line="360" w:lineRule="auto"/>
        <w:ind w:firstLine="453" w:firstLineChars="189"/>
        <w:outlineLvl w:val="9"/>
        <w:rPr>
          <w:rFonts w:ascii="黑体" w:hAnsi="黑体" w:eastAsia="黑体"/>
          <w:sz w:val="24"/>
          <w:szCs w:val="24"/>
          <w:highlight w:val="none"/>
        </w:rPr>
      </w:pPr>
      <w:r>
        <w:rPr>
          <w:rFonts w:hint="eastAsia" w:ascii="黑体" w:hAnsi="黑体" w:eastAsia="黑体"/>
          <w:sz w:val="24"/>
          <w:szCs w:val="24"/>
          <w:highlight w:val="none"/>
        </w:rPr>
        <w:t>十二、赛场预案</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outlineLvl w:val="9"/>
        <w:rPr>
          <w:rFonts w:hint="eastAsia" w:ascii="仿宋_GB2312" w:eastAsia="仿宋_GB2312"/>
          <w:spacing w:val="-14"/>
          <w:sz w:val="24"/>
          <w:szCs w:val="24"/>
          <w:highlight w:val="none"/>
        </w:rPr>
      </w:pPr>
      <w:r>
        <w:rPr>
          <w:rFonts w:hint="eastAsia" w:ascii="仿宋_GB2312" w:eastAsia="仿宋_GB2312"/>
          <w:spacing w:val="-14"/>
          <w:sz w:val="24"/>
          <w:szCs w:val="24"/>
          <w:highlight w:val="none"/>
        </w:rPr>
        <w:t>在比赛过程中如发生不可控但可能出现的紧急情况，按以下方式进行处理：</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outlineLvl w:val="9"/>
        <w:rPr>
          <w:rFonts w:hint="eastAsia" w:ascii="仿宋_GB2312" w:eastAsia="仿宋_GB2312"/>
          <w:spacing w:val="-14"/>
          <w:sz w:val="24"/>
          <w:szCs w:val="24"/>
          <w:highlight w:val="none"/>
        </w:rPr>
      </w:pPr>
      <w:r>
        <w:rPr>
          <w:rFonts w:hint="eastAsia" w:ascii="仿宋_GB2312" w:eastAsia="仿宋_GB2312"/>
          <w:spacing w:val="-14"/>
          <w:sz w:val="24"/>
          <w:szCs w:val="24"/>
          <w:highlight w:val="none"/>
        </w:rPr>
        <w:t>1.因赛场停电或非人为设备故障的，电力抢险和设备维修人员须及时处置，根据实际情况给选手酌情补时。</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outlineLvl w:val="9"/>
        <w:rPr>
          <w:rFonts w:hint="eastAsia" w:ascii="仿宋_GB2312" w:eastAsia="仿宋_GB2312"/>
          <w:spacing w:val="-14"/>
          <w:sz w:val="24"/>
          <w:szCs w:val="24"/>
          <w:highlight w:val="none"/>
        </w:rPr>
      </w:pPr>
      <w:r>
        <w:rPr>
          <w:rFonts w:hint="eastAsia" w:ascii="仿宋_GB2312" w:eastAsia="仿宋_GB2312"/>
          <w:spacing w:val="-14"/>
          <w:sz w:val="24"/>
          <w:szCs w:val="24"/>
          <w:highlight w:val="none"/>
        </w:rPr>
        <w:t>2.因选手违规操作而损坏赛场设备及部件，设备维修人员须及时处置，现场裁判根据评分细则对选手进行扣分。</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outlineLvl w:val="9"/>
        <w:rPr>
          <w:rFonts w:hint="eastAsia" w:ascii="仿宋_GB2312" w:eastAsia="仿宋_GB2312"/>
          <w:spacing w:val="-14"/>
          <w:sz w:val="24"/>
          <w:szCs w:val="24"/>
          <w:highlight w:val="none"/>
        </w:rPr>
      </w:pPr>
      <w:r>
        <w:rPr>
          <w:rFonts w:hint="eastAsia" w:ascii="仿宋_GB2312" w:eastAsia="仿宋_GB2312"/>
          <w:spacing w:val="-14"/>
          <w:sz w:val="24"/>
          <w:szCs w:val="24"/>
          <w:highlight w:val="none"/>
        </w:rPr>
        <w:t>3.竞赛过程中，产生重大安全事故或有产生重大安全事故隐患，经裁判员提示无效，由裁判员报裁判长核实后终止其比赛，并取消其竞赛成绩。</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outlineLvl w:val="9"/>
        <w:rPr>
          <w:rFonts w:ascii="仿宋_GB2312" w:eastAsia="仿宋_GB2312"/>
          <w:sz w:val="24"/>
          <w:szCs w:val="24"/>
          <w:highlight w:val="none"/>
        </w:rPr>
      </w:pPr>
      <w:r>
        <w:rPr>
          <w:rFonts w:hint="eastAsia" w:ascii="仿宋_GB2312" w:eastAsia="仿宋_GB2312"/>
          <w:spacing w:val="-14"/>
          <w:sz w:val="24"/>
          <w:szCs w:val="24"/>
          <w:highlight w:val="none"/>
        </w:rPr>
        <w:t>4.不服从裁判员、工作人员，扰乱赛场秩序、干扰其他参赛选手比赛，裁判组先提出警告，累计警告2次或情节特别严重，造成竞赛终止的，经裁判长裁定后终止比赛，并取消参赛资格和竞赛成绩</w:t>
      </w:r>
      <w:r>
        <w:rPr>
          <w:rFonts w:hint="eastAsia" w:ascii="仿宋_GB2312" w:eastAsia="仿宋_GB2312"/>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53" w:firstLineChars="189"/>
        <w:outlineLvl w:val="9"/>
        <w:rPr>
          <w:rFonts w:ascii="黑体" w:hAnsi="黑体" w:eastAsia="黑体"/>
          <w:sz w:val="32"/>
          <w:szCs w:val="32"/>
          <w:highlight w:val="none"/>
        </w:rPr>
      </w:pPr>
      <w:r>
        <w:rPr>
          <w:rFonts w:hint="eastAsia" w:ascii="黑体" w:hAnsi="黑体" w:eastAsia="黑体"/>
          <w:sz w:val="24"/>
          <w:szCs w:val="24"/>
          <w:highlight w:val="none"/>
        </w:rPr>
        <w:t>十三、申诉与仲裁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大赛采取二级仲裁机制。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仿宋_GB2312" w:hAnsi="宋体" w:eastAsia="仿宋_GB2312" w:cs="仿宋_GB2312"/>
          <w:kern w:val="0"/>
          <w:sz w:val="24"/>
          <w:szCs w:val="24"/>
          <w:highlight w:val="none"/>
        </w:rPr>
      </w:pPr>
      <w:r>
        <w:rPr>
          <w:rFonts w:hint="eastAsia" w:ascii="仿宋_GB2312" w:hAnsi="宋体" w:eastAsia="仿宋_GB2312" w:cs="仿宋_GB2312"/>
          <w:kern w:val="0"/>
          <w:sz w:val="24"/>
          <w:szCs w:val="24"/>
          <w:highlight w:val="none"/>
        </w:rPr>
        <w:t>提出申诉的时间应在竞赛结束后（选手赛场竞赛内容全部完成）2小时内</w:t>
      </w:r>
      <w:r>
        <w:rPr>
          <w:rFonts w:hint="eastAsia" w:ascii="Calibri" w:hAnsi="Calibri" w:eastAsia="仿宋_GB2312" w:cs="仿宋_GB2312"/>
          <w:kern w:val="0"/>
          <w:sz w:val="24"/>
          <w:szCs w:val="24"/>
          <w:highlight w:val="none"/>
        </w:rPr>
        <w:t>，</w:t>
      </w:r>
      <w:r>
        <w:rPr>
          <w:rFonts w:hint="eastAsia" w:ascii="仿宋_GB2312" w:hAnsi="宋体" w:eastAsia="仿宋_GB2312" w:cs="仿宋_GB2312"/>
          <w:kern w:val="0"/>
          <w:sz w:val="24"/>
          <w:szCs w:val="24"/>
          <w:highlight w:val="none"/>
        </w:rPr>
        <w:t>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w:t>
      </w:r>
      <w:r>
        <w:rPr>
          <w:rFonts w:ascii="仿宋_GB2312" w:hAnsi="宋体" w:eastAsia="仿宋_GB2312" w:cs="仿宋_GB2312"/>
          <w:kern w:val="0"/>
          <w:sz w:val="24"/>
          <w:szCs w:val="24"/>
          <w:highlight w:val="none"/>
        </w:rPr>
        <w:t>方可随时提出放弃申诉。</w:t>
      </w:r>
    </w:p>
    <w:p>
      <w:pPr>
        <w:keepNext w:val="0"/>
        <w:keepLines w:val="0"/>
        <w:pageBreakBefore w:val="0"/>
        <w:kinsoku/>
        <w:wordWrap/>
        <w:overflowPunct/>
        <w:topLinePunct w:val="0"/>
        <w:autoSpaceDE/>
        <w:autoSpaceDN/>
        <w:bidi w:val="0"/>
        <w:snapToGrid w:val="0"/>
        <w:spacing w:line="360" w:lineRule="auto"/>
        <w:ind w:firstLine="453" w:firstLineChars="189"/>
        <w:outlineLvl w:val="9"/>
        <w:rPr>
          <w:rFonts w:ascii="黑体" w:hAnsi="黑体" w:eastAsia="黑体"/>
          <w:sz w:val="24"/>
          <w:szCs w:val="24"/>
          <w:highlight w:val="none"/>
        </w:rPr>
      </w:pPr>
      <w:r>
        <w:rPr>
          <w:rFonts w:hint="eastAsia" w:ascii="黑体" w:hAnsi="黑体" w:eastAsia="黑体"/>
          <w:sz w:val="24"/>
          <w:szCs w:val="24"/>
          <w:highlight w:val="none"/>
        </w:rPr>
        <w:t>十四、竞赛观摩</w:t>
      </w:r>
    </w:p>
    <w:p>
      <w:pPr>
        <w:keepNext w:val="0"/>
        <w:keepLines w:val="0"/>
        <w:pageBreakBefore w:val="0"/>
        <w:kinsoku/>
        <w:wordWrap/>
        <w:overflowPunct/>
        <w:topLinePunct w:val="0"/>
        <w:autoSpaceDE/>
        <w:autoSpaceDN/>
        <w:bidi w:val="0"/>
        <w:snapToGrid w:val="0"/>
        <w:spacing w:line="360" w:lineRule="auto"/>
        <w:ind w:firstLine="423" w:firstLineChars="189"/>
        <w:outlineLvl w:val="9"/>
        <w:rPr>
          <w:rFonts w:hint="eastAsia" w:ascii="仿宋_GB2312" w:eastAsia="仿宋_GB2312"/>
          <w:spacing w:val="-8"/>
          <w:sz w:val="24"/>
          <w:szCs w:val="24"/>
          <w:highlight w:val="none"/>
        </w:rPr>
      </w:pPr>
      <w:r>
        <w:rPr>
          <w:rFonts w:hint="eastAsia" w:ascii="仿宋_GB2312" w:eastAsia="仿宋_GB2312"/>
          <w:spacing w:val="-8"/>
          <w:sz w:val="24"/>
          <w:szCs w:val="24"/>
          <w:highlight w:val="none"/>
        </w:rPr>
        <w:t>1.大赛期间，允许各有关企业、单位、行业协会组织专家、技术人员团体、参赛队领队、指导教师在指定观摩区进行公开观摩。</w:t>
      </w:r>
    </w:p>
    <w:p>
      <w:pPr>
        <w:keepNext w:val="0"/>
        <w:keepLines w:val="0"/>
        <w:pageBreakBefore w:val="0"/>
        <w:kinsoku/>
        <w:wordWrap/>
        <w:overflowPunct/>
        <w:topLinePunct w:val="0"/>
        <w:autoSpaceDE/>
        <w:autoSpaceDN/>
        <w:bidi w:val="0"/>
        <w:snapToGrid w:val="0"/>
        <w:spacing w:line="360" w:lineRule="auto"/>
        <w:ind w:firstLine="423" w:firstLineChars="189"/>
        <w:outlineLvl w:val="9"/>
        <w:rPr>
          <w:rFonts w:hint="eastAsia" w:ascii="仿宋_GB2312" w:eastAsia="仿宋_GB2312"/>
          <w:spacing w:val="-8"/>
          <w:sz w:val="24"/>
          <w:szCs w:val="24"/>
          <w:highlight w:val="none"/>
        </w:rPr>
      </w:pPr>
      <w:r>
        <w:rPr>
          <w:rFonts w:hint="eastAsia" w:ascii="仿宋_GB2312" w:eastAsia="仿宋_GB2312"/>
          <w:spacing w:val="-8"/>
          <w:sz w:val="24"/>
          <w:szCs w:val="24"/>
          <w:highlight w:val="none"/>
        </w:rPr>
        <w:t>2.观摩人员可在开赛2小时后，以小组为单位，在赛场引导员的引导下，有序进入赛场观摩，观摩时间为半个小时。</w:t>
      </w:r>
    </w:p>
    <w:p>
      <w:pPr>
        <w:keepNext w:val="0"/>
        <w:keepLines w:val="0"/>
        <w:pageBreakBefore w:val="0"/>
        <w:kinsoku/>
        <w:wordWrap/>
        <w:overflowPunct/>
        <w:topLinePunct w:val="0"/>
        <w:autoSpaceDE/>
        <w:autoSpaceDN/>
        <w:bidi w:val="0"/>
        <w:snapToGrid w:val="0"/>
        <w:spacing w:line="360" w:lineRule="auto"/>
        <w:ind w:firstLine="423" w:firstLineChars="189"/>
        <w:outlineLvl w:val="9"/>
        <w:rPr>
          <w:rFonts w:hint="eastAsia" w:ascii="仿宋_GB2312" w:eastAsia="仿宋_GB2312"/>
          <w:spacing w:val="-8"/>
          <w:sz w:val="24"/>
          <w:szCs w:val="24"/>
          <w:highlight w:val="none"/>
        </w:rPr>
      </w:pPr>
      <w:r>
        <w:rPr>
          <w:rFonts w:hint="eastAsia" w:ascii="仿宋_GB2312" w:eastAsia="仿宋_GB2312"/>
          <w:spacing w:val="-8"/>
          <w:sz w:val="24"/>
          <w:szCs w:val="24"/>
          <w:highlight w:val="none"/>
        </w:rPr>
        <w:t>3.观摩人员只能在观摩区走动，不得大声讲话、不能拨打接听电话，不能在赛位前停留，不得与选手有任何交流，不得干扰选手比赛，不准向场内裁判员及工作人员打招呼、提问，禁止未经允许拍照和摄像。凡违反规定者，立即取消参观资格。</w:t>
      </w:r>
    </w:p>
    <w:p>
      <w:pPr>
        <w:keepNext w:val="0"/>
        <w:keepLines w:val="0"/>
        <w:pageBreakBefore w:val="0"/>
        <w:kinsoku/>
        <w:wordWrap/>
        <w:overflowPunct/>
        <w:topLinePunct w:val="0"/>
        <w:autoSpaceDE/>
        <w:autoSpaceDN/>
        <w:bidi w:val="0"/>
        <w:snapToGrid w:val="0"/>
        <w:spacing w:line="360" w:lineRule="auto"/>
        <w:ind w:firstLine="423" w:firstLineChars="189"/>
        <w:outlineLvl w:val="9"/>
        <w:rPr>
          <w:rFonts w:ascii="仿宋_GB2312" w:eastAsia="仿宋_GB2312"/>
          <w:sz w:val="24"/>
          <w:szCs w:val="24"/>
          <w:highlight w:val="none"/>
        </w:rPr>
      </w:pPr>
      <w:r>
        <w:rPr>
          <w:rFonts w:hint="eastAsia" w:ascii="仿宋_GB2312" w:eastAsia="仿宋_GB2312"/>
          <w:spacing w:val="-8"/>
          <w:sz w:val="24"/>
          <w:szCs w:val="24"/>
          <w:highlight w:val="none"/>
        </w:rPr>
        <w:t>4.新闻媒体等进入赛场必须经过大赛执委会允许，由专人陪同并听从现场工作人员的安排和管理，不能影响比赛进行</w:t>
      </w:r>
      <w:r>
        <w:rPr>
          <w:rFonts w:hint="eastAsia" w:ascii="仿宋_GB2312" w:eastAsia="仿宋_GB2312"/>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53" w:firstLineChars="189"/>
        <w:outlineLvl w:val="9"/>
        <w:rPr>
          <w:rFonts w:ascii="黑体" w:hAnsi="黑体" w:eastAsia="黑体"/>
          <w:sz w:val="24"/>
          <w:szCs w:val="24"/>
          <w:highlight w:val="none"/>
        </w:rPr>
      </w:pPr>
      <w:r>
        <w:rPr>
          <w:rFonts w:hint="eastAsia" w:ascii="黑体" w:hAnsi="黑体" w:eastAsia="黑体"/>
          <w:sz w:val="24"/>
          <w:szCs w:val="24"/>
          <w:highlight w:val="none"/>
        </w:rPr>
        <w:t>十五、竞赛直播</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rPr>
      </w:pPr>
      <w:r>
        <w:rPr>
          <w:rFonts w:hint="eastAsia" w:ascii="仿宋_GB2312" w:eastAsia="仿宋_GB2312"/>
          <w:spacing w:val="-8"/>
          <w:sz w:val="24"/>
          <w:szCs w:val="24"/>
          <w:highlight w:val="none"/>
        </w:rPr>
        <w:t>直播方式：赛场直播。</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hint="eastAsia" w:ascii="仿宋_GB2312" w:eastAsia="仿宋_GB2312"/>
          <w:spacing w:val="-8"/>
          <w:sz w:val="24"/>
          <w:szCs w:val="24"/>
          <w:highlight w:val="none"/>
        </w:rPr>
      </w:pPr>
      <w:r>
        <w:rPr>
          <w:rFonts w:hint="eastAsia" w:ascii="仿宋_GB2312" w:eastAsia="仿宋_GB2312"/>
          <w:spacing w:val="-8"/>
          <w:sz w:val="24"/>
          <w:szCs w:val="24"/>
          <w:highlight w:val="none"/>
        </w:rPr>
        <w:t>直播安排：利用网络传媒技术对赛场的比赛全过程进行直播。</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outlineLvl w:val="9"/>
        <w:rPr>
          <w:rFonts w:ascii="仿宋_GB2312" w:eastAsia="仿宋_GB2312"/>
          <w:sz w:val="32"/>
          <w:szCs w:val="32"/>
          <w:highlight w:val="none"/>
        </w:rPr>
      </w:pPr>
      <w:r>
        <w:rPr>
          <w:rFonts w:hint="eastAsia" w:ascii="仿宋_GB2312" w:eastAsia="仿宋_GB2312"/>
          <w:spacing w:val="-8"/>
          <w:sz w:val="24"/>
          <w:szCs w:val="24"/>
          <w:highlight w:val="none"/>
        </w:rPr>
        <w:t>直播内容：赛项的比赛过程</w:t>
      </w:r>
      <w:r>
        <w:rPr>
          <w:rFonts w:hint="eastAsia" w:ascii="仿宋_GB2312" w:eastAsia="仿宋_GB2312"/>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53" w:firstLineChars="189"/>
        <w:outlineLvl w:val="9"/>
        <w:rPr>
          <w:rFonts w:ascii="黑体" w:hAnsi="黑体" w:eastAsia="黑体"/>
          <w:sz w:val="24"/>
          <w:szCs w:val="24"/>
          <w:highlight w:val="none"/>
        </w:rPr>
      </w:pPr>
      <w:r>
        <w:rPr>
          <w:rFonts w:hint="eastAsia" w:ascii="黑体" w:hAnsi="黑体" w:eastAsia="黑体"/>
          <w:sz w:val="24"/>
          <w:szCs w:val="24"/>
          <w:highlight w:val="none"/>
        </w:rPr>
        <w:t>十六、竞赛须知</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仿宋_GB2312" w:eastAsia="仿宋_GB2312"/>
          <w:b/>
          <w:bCs/>
          <w:sz w:val="24"/>
          <w:szCs w:val="24"/>
          <w:highlight w:val="none"/>
        </w:rPr>
      </w:pPr>
      <w:r>
        <w:rPr>
          <w:rFonts w:hint="eastAsia" w:ascii="仿宋_GB2312" w:eastAsia="仿宋_GB2312"/>
          <w:b/>
          <w:bCs/>
          <w:sz w:val="24"/>
          <w:szCs w:val="24"/>
          <w:highlight w:val="none"/>
        </w:rPr>
        <w:t>（一）参赛队须知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1.参赛队名称统一使用规定的地区代表队名称，不使用学校或其他组织的名称。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2.参赛队选手在报名获得确认后，原则上不再更换，如筹备过程中，选手因故不能参赛，所在市教育主管部门需出具书面说明并按相关参赛选手资格补充人员并接受审核；竞赛开始后，参赛队不得更换参赛选手，若有参赛队员缺席，则视为自动放弃竞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3.各市在组织参赛队时，须安排为参赛选手购买大赛期间的人身意外伤害保险。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4.参赛队对大赛组委会发布的所有文件都要仔细阅读，熟悉大赛时间安排、评判细节等，以保证顺利参加大赛。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5.参赛队按照大赛赛程安排，凭大赛组委会颁发的参赛证和有效身份证件参加竞赛及相关活动。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6.参赛队将通过抽签决定比赛场地和比赛顺序。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7.本规则没有规定的行为，裁判组有权做出裁决。在有争议的情况下，仲裁工作组的裁决是最终裁决，任何媒体资料都不做参考。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8.本竞赛项目的解释权归大赛组委会。</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仿宋_GB2312" w:eastAsia="仿宋_GB2312"/>
          <w:b/>
          <w:bCs/>
          <w:sz w:val="24"/>
          <w:szCs w:val="24"/>
          <w:highlight w:val="none"/>
        </w:rPr>
      </w:pPr>
      <w:r>
        <w:rPr>
          <w:rFonts w:hint="eastAsia" w:ascii="仿宋_GB2312" w:eastAsia="仿宋_GB2312"/>
          <w:b/>
          <w:bCs/>
          <w:sz w:val="24"/>
          <w:szCs w:val="24"/>
          <w:highlight w:val="none"/>
        </w:rPr>
        <w:t>（二）指导教师须知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1.做好赛前抽签工作，确认比赛出场顺序，协助大赛承办方组织好本单位比赛选手的各项赛事相关事宜。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2.做好本单位比赛选手的业务辅导、心理疏导和思想引导工作，对参赛选手及比赛过程报以平和、包容的心态，共同维护竞赛秩序。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3.自觉遵守竞赛规则，尊重和支持裁判员工作，不随意进入比赛现场及其他禁止入内的区域，确保比赛进程的公平、公正、顺畅、高效。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4.各参赛队要坚决执行比赛的各项规定，加强对参赛人员的管理，做好赛前准备工作，督促选手带好证件和要求自带的工量具和材料等。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5.当本单位参赛选手对比赛进程中出现异常或疑问，应及时了解情况，客观做出判断，并做好选手的安抚工作，经内部进行协商，认为有必要时可在规定时限内向赛项仲裁工作组反映情况或提出书面仲裁申请。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6.参赛选手因申诉或对处理意见不服而停止比赛，以弃权处理。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7.指导教师应认真研究和掌握本赛项比赛的技术规则和赛场要求，指导选手做好赛前技术准备和应赛准备。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8.指导教师应在赛后做好技术总结和工作总结。</w:t>
      </w:r>
    </w:p>
    <w:p>
      <w:pPr>
        <w:keepNext w:val="0"/>
        <w:keepLines w:val="0"/>
        <w:pageBreakBefore w:val="0"/>
        <w:kinsoku/>
        <w:wordWrap/>
        <w:overflowPunct/>
        <w:topLinePunct w:val="0"/>
        <w:autoSpaceDE/>
        <w:autoSpaceDN/>
        <w:bidi w:val="0"/>
        <w:snapToGrid w:val="0"/>
        <w:spacing w:line="360" w:lineRule="auto"/>
        <w:ind w:firstLine="455" w:firstLineChars="189"/>
        <w:outlineLvl w:val="9"/>
        <w:rPr>
          <w:rFonts w:hint="eastAsia" w:ascii="仿宋_GB2312" w:eastAsia="仿宋_GB2312"/>
          <w:b/>
          <w:bCs/>
          <w:sz w:val="24"/>
          <w:szCs w:val="24"/>
          <w:highlight w:val="none"/>
        </w:rPr>
      </w:pPr>
      <w:r>
        <w:rPr>
          <w:rFonts w:hint="eastAsia" w:ascii="仿宋_GB2312" w:eastAsia="仿宋_GB2312"/>
          <w:b/>
          <w:bCs/>
          <w:sz w:val="24"/>
          <w:szCs w:val="24"/>
          <w:highlight w:val="none"/>
        </w:rPr>
        <w:t>（三）参赛选手须知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1.参赛选手报到后，凭身份证领取参赛证，并核实选手参赛资格。参赛证为选手参赛的凭据。参赛选手一经确认，中途不得任意更换，否则以作弊论处，其个人不得参与名次排名。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2.参赛选手应持参赛有效证件，按竞赛顺序、项目场次和竞赛时间，提前30分钟到各考核项目指定地点接受检录、抽签决定竞赛赛位号等。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3.检录后的选手，应在工作人员的引导下，提前15分钟到达竞赛现场，从竞赛计时开始，选手未到即取消该项目的参赛资格。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4.参赛选手进入赛场，应佩戴参赛证，并根据竞赛项目要求统一着装，做到衣着整洁，符合安全生产及竞赛要求。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5.参赛选手应认真阅读各项目竞赛操作须知，自觉遵守赛场纪律，按竞赛规则、项目与赛场要求进行竞赛，不得携带任何书面或电子资料、手机等电子或通讯设备进入赛场，不得有任何舞弊行为，否则视情节轻重执行赛场纪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6.竞赛期间，竞赛选手应服从裁判员评判，若对裁判员评分产生异议，不得与裁判员争执、顶撞，但可在规定时限内由领队向赛项仲裁工作组提出书面仲裁申请；由赛项仲裁工作委员会调查核实并处理。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7.不服从裁判员、工作人员、扰乱赛场秩序、干扰其他参赛选手比赛情况，裁判组应提出警告。累计警告2次或情节特别严重，造成竞赛终止的，经裁判长裁定后终止比赛，并取消参赛资格和竞赛成绩。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8.竞赛过程中，产生重大安全事故、或有产生重大安全事故隐患，经裁判员提示无效的，裁判员可终止其比赛，并取消参赛资格和竞赛成绩。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9.竞赛过程中，出现赛项规程所规定的取消比赛资格的行为，裁判员可终止其比赛，并取消参赛资格和竞赛成绩。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10.参加技能操作竞赛的选手如提前完成作业，选手应在指定的区域等待，经裁判员同意方可离开考场。</w:t>
      </w:r>
    </w:p>
    <w:p>
      <w:pPr>
        <w:keepNext w:val="0"/>
        <w:keepLines w:val="0"/>
        <w:pageBreakBefore w:val="0"/>
        <w:kinsoku/>
        <w:wordWrap/>
        <w:overflowPunct/>
        <w:topLinePunct w:val="0"/>
        <w:autoSpaceDE/>
        <w:autoSpaceDN/>
        <w:bidi w:val="0"/>
        <w:snapToGrid w:val="0"/>
        <w:spacing w:line="360" w:lineRule="auto"/>
        <w:ind w:firstLine="455" w:firstLineChars="189"/>
        <w:outlineLvl w:val="9"/>
        <w:rPr>
          <w:rFonts w:hint="eastAsia" w:ascii="仿宋_GB2312" w:eastAsia="仿宋_GB2312"/>
          <w:b/>
          <w:bCs/>
          <w:sz w:val="24"/>
          <w:szCs w:val="24"/>
          <w:highlight w:val="none"/>
        </w:rPr>
      </w:pPr>
      <w:r>
        <w:rPr>
          <w:rFonts w:hint="eastAsia" w:ascii="仿宋_GB2312" w:eastAsia="仿宋_GB2312"/>
          <w:b/>
          <w:bCs/>
          <w:sz w:val="24"/>
          <w:szCs w:val="24"/>
          <w:highlight w:val="none"/>
        </w:rPr>
        <w:t>（四）工作人员须知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1.服从大赛组委会的领导，遵守职业道德、坚持原则、按章办事，切实做到严格认真，公正准确，文明执裁。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2.必须佩带裁判员胸卡、着裁判员装，仪表整洁，语言举止文明礼貌，接受监督仲裁组成员和参赛人员的监督。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3.必须参加大赛组委会的赛前培训。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4.竞赛期间，保守竞赛秘密，不得向各赛区领队、教练及选手泄露、暗示大赛秘密。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5.严格执行竞赛纪律，除应向参赛选手交代的竞赛须知外，不得向参赛选手暗示解答与竞赛有关的问题，更不得向选手进行指导或提供方便。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 xml:space="preserve">6.裁判员与工作人员坚守岗位，不得私自串岗，不迟到，不早退。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_GB2312" w:eastAsia="仿宋_GB2312"/>
          <w:sz w:val="24"/>
          <w:szCs w:val="24"/>
          <w:highlight w:val="none"/>
        </w:rPr>
      </w:pPr>
      <w:r>
        <w:rPr>
          <w:rFonts w:hint="eastAsia" w:ascii="仿宋_GB2312" w:eastAsia="仿宋_GB2312"/>
          <w:sz w:val="24"/>
          <w:szCs w:val="24"/>
          <w:highlight w:val="none"/>
        </w:rPr>
        <w:t>7.监督选手遵守竞赛规则和安全操作规程的情况，不得无故干扰选手比赛。正确处理竞赛中出现的问题。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仿宋_GB2312" w:eastAsia="仿宋_GB2312"/>
          <w:sz w:val="24"/>
          <w:szCs w:val="24"/>
          <w:highlight w:val="none"/>
        </w:rPr>
      </w:pPr>
      <w:r>
        <w:rPr>
          <w:rFonts w:hint="eastAsia" w:ascii="仿宋_GB2312" w:eastAsia="仿宋_GB2312"/>
          <w:sz w:val="24"/>
          <w:szCs w:val="24"/>
          <w:highlight w:val="none"/>
        </w:rPr>
        <w:t>8.工作人员应在每轮比赛中，对出现的设备故障应及时检查并抢修；对不能解决的设备问题，应及时汇报。</w:t>
      </w:r>
    </w:p>
    <w:p>
      <w:pPr>
        <w:keepNext w:val="0"/>
        <w:keepLines w:val="0"/>
        <w:pageBreakBefore w:val="0"/>
        <w:kinsoku/>
        <w:wordWrap/>
        <w:overflowPunct/>
        <w:topLinePunct w:val="0"/>
        <w:autoSpaceDE/>
        <w:autoSpaceDN/>
        <w:bidi w:val="0"/>
        <w:snapToGrid w:val="0"/>
        <w:spacing w:line="360" w:lineRule="auto"/>
        <w:outlineLvl w:val="9"/>
        <w:rPr>
          <w:rFonts w:ascii="仿宋_GB2312" w:eastAsia="仿宋_GB2312"/>
          <w:sz w:val="32"/>
          <w:szCs w:val="32"/>
          <w:highlight w:val="none"/>
        </w:rPr>
      </w:pPr>
    </w:p>
    <w:p>
      <w:pPr>
        <w:rPr>
          <w:rFonts w:ascii="宋体" w:hAnsi="宋体"/>
          <w:sz w:val="24"/>
          <w:szCs w:val="24"/>
          <w:highlight w:val="none"/>
        </w:rPr>
      </w:pPr>
    </w:p>
    <w:sectPr>
      <w:footerReference r:id="rId3" w:type="default"/>
      <w:pgSz w:w="11906" w:h="16838"/>
      <w:pgMar w:top="2041" w:right="1417" w:bottom="1984"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8 -</w:t>
    </w:r>
    <w:r>
      <w:rPr>
        <w:sz w:val="22"/>
        <w:szCs w:val="22"/>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31CF0"/>
    <w:multiLevelType w:val="singleLevel"/>
    <w:tmpl w:val="81731CF0"/>
    <w:lvl w:ilvl="0" w:tentative="0">
      <w:start w:val="1"/>
      <w:numFmt w:val="decimal"/>
      <w:lvlText w:val="%1."/>
      <w:lvlJc w:val="left"/>
      <w:pPr>
        <w:ind w:left="425" w:hanging="425"/>
      </w:pPr>
      <w:rPr>
        <w:rFonts w:hint="default"/>
      </w:rPr>
    </w:lvl>
  </w:abstractNum>
  <w:abstractNum w:abstractNumId="1">
    <w:nsid w:val="DFDF5817"/>
    <w:multiLevelType w:val="singleLevel"/>
    <w:tmpl w:val="DFDF581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TcyNTE4OGFhM2RhZGYyMGMzY2ZlYTMxNjJhODUifQ=="/>
  </w:docVars>
  <w:rsids>
    <w:rsidRoot w:val="006232FD"/>
    <w:rsid w:val="0001294A"/>
    <w:rsid w:val="00012E53"/>
    <w:rsid w:val="000205E7"/>
    <w:rsid w:val="00021F3D"/>
    <w:rsid w:val="0002370A"/>
    <w:rsid w:val="00045ED4"/>
    <w:rsid w:val="00047928"/>
    <w:rsid w:val="000527F6"/>
    <w:rsid w:val="00055954"/>
    <w:rsid w:val="000635F9"/>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626"/>
    <w:rsid w:val="00122E0F"/>
    <w:rsid w:val="0012404C"/>
    <w:rsid w:val="001306B3"/>
    <w:rsid w:val="00133474"/>
    <w:rsid w:val="00134B0B"/>
    <w:rsid w:val="00140362"/>
    <w:rsid w:val="00142D9F"/>
    <w:rsid w:val="00150D5E"/>
    <w:rsid w:val="001559E6"/>
    <w:rsid w:val="001565E4"/>
    <w:rsid w:val="00166689"/>
    <w:rsid w:val="00176442"/>
    <w:rsid w:val="0018640C"/>
    <w:rsid w:val="001A1BE0"/>
    <w:rsid w:val="001A69C1"/>
    <w:rsid w:val="001C4E6C"/>
    <w:rsid w:val="001E47C5"/>
    <w:rsid w:val="001E5D17"/>
    <w:rsid w:val="001F7CE0"/>
    <w:rsid w:val="00200A96"/>
    <w:rsid w:val="002139BB"/>
    <w:rsid w:val="00216B2E"/>
    <w:rsid w:val="00216F17"/>
    <w:rsid w:val="002173F5"/>
    <w:rsid w:val="00217D9F"/>
    <w:rsid w:val="002346B7"/>
    <w:rsid w:val="00240ED0"/>
    <w:rsid w:val="0024321C"/>
    <w:rsid w:val="002649DA"/>
    <w:rsid w:val="00271694"/>
    <w:rsid w:val="00272C7F"/>
    <w:rsid w:val="00273C40"/>
    <w:rsid w:val="00293A32"/>
    <w:rsid w:val="002A1EC6"/>
    <w:rsid w:val="002A5EFE"/>
    <w:rsid w:val="002B5129"/>
    <w:rsid w:val="002B7368"/>
    <w:rsid w:val="002B7EE6"/>
    <w:rsid w:val="002C11EE"/>
    <w:rsid w:val="002C60B3"/>
    <w:rsid w:val="002C7786"/>
    <w:rsid w:val="002D014C"/>
    <w:rsid w:val="002D0356"/>
    <w:rsid w:val="002F2B3B"/>
    <w:rsid w:val="003000D9"/>
    <w:rsid w:val="003116FD"/>
    <w:rsid w:val="00322A78"/>
    <w:rsid w:val="00330A93"/>
    <w:rsid w:val="00345CE6"/>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6602"/>
    <w:rsid w:val="003E3FFB"/>
    <w:rsid w:val="003F11BF"/>
    <w:rsid w:val="0040349F"/>
    <w:rsid w:val="00410069"/>
    <w:rsid w:val="00422BBF"/>
    <w:rsid w:val="00424E67"/>
    <w:rsid w:val="00426BF1"/>
    <w:rsid w:val="00437101"/>
    <w:rsid w:val="004425DB"/>
    <w:rsid w:val="00442A99"/>
    <w:rsid w:val="0044600D"/>
    <w:rsid w:val="00447C4E"/>
    <w:rsid w:val="00473C8F"/>
    <w:rsid w:val="004753B4"/>
    <w:rsid w:val="0048011C"/>
    <w:rsid w:val="004853E7"/>
    <w:rsid w:val="00490519"/>
    <w:rsid w:val="00493974"/>
    <w:rsid w:val="004A0A05"/>
    <w:rsid w:val="004A76A0"/>
    <w:rsid w:val="004B282A"/>
    <w:rsid w:val="004C6FF8"/>
    <w:rsid w:val="004D1309"/>
    <w:rsid w:val="004D6874"/>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7644B"/>
    <w:rsid w:val="00593E67"/>
    <w:rsid w:val="005A3C40"/>
    <w:rsid w:val="005A5C83"/>
    <w:rsid w:val="005B1FA4"/>
    <w:rsid w:val="005B302F"/>
    <w:rsid w:val="005D130A"/>
    <w:rsid w:val="005D34A6"/>
    <w:rsid w:val="005E2B07"/>
    <w:rsid w:val="005E38B5"/>
    <w:rsid w:val="005E648D"/>
    <w:rsid w:val="006021E3"/>
    <w:rsid w:val="00602777"/>
    <w:rsid w:val="00604C16"/>
    <w:rsid w:val="00610798"/>
    <w:rsid w:val="00611567"/>
    <w:rsid w:val="00620B9E"/>
    <w:rsid w:val="006232FD"/>
    <w:rsid w:val="006233C8"/>
    <w:rsid w:val="006313F1"/>
    <w:rsid w:val="00632E70"/>
    <w:rsid w:val="0064240B"/>
    <w:rsid w:val="006455C1"/>
    <w:rsid w:val="00654B93"/>
    <w:rsid w:val="00656C57"/>
    <w:rsid w:val="0066058D"/>
    <w:rsid w:val="00661227"/>
    <w:rsid w:val="0066745C"/>
    <w:rsid w:val="006866F9"/>
    <w:rsid w:val="006869B9"/>
    <w:rsid w:val="00691F2C"/>
    <w:rsid w:val="00694F1F"/>
    <w:rsid w:val="006A09C6"/>
    <w:rsid w:val="006A10C6"/>
    <w:rsid w:val="006A582C"/>
    <w:rsid w:val="006B2363"/>
    <w:rsid w:val="006B4CDF"/>
    <w:rsid w:val="006C0E65"/>
    <w:rsid w:val="006F3051"/>
    <w:rsid w:val="006F5808"/>
    <w:rsid w:val="006F7A4D"/>
    <w:rsid w:val="007102B3"/>
    <w:rsid w:val="00710EDF"/>
    <w:rsid w:val="00711381"/>
    <w:rsid w:val="00712B0F"/>
    <w:rsid w:val="007149F9"/>
    <w:rsid w:val="0072062E"/>
    <w:rsid w:val="00730BB9"/>
    <w:rsid w:val="0073699C"/>
    <w:rsid w:val="0074114E"/>
    <w:rsid w:val="00743983"/>
    <w:rsid w:val="0075400A"/>
    <w:rsid w:val="00754926"/>
    <w:rsid w:val="00761218"/>
    <w:rsid w:val="00761FA1"/>
    <w:rsid w:val="00763DFB"/>
    <w:rsid w:val="007662B8"/>
    <w:rsid w:val="00775B2A"/>
    <w:rsid w:val="00777F82"/>
    <w:rsid w:val="007825A0"/>
    <w:rsid w:val="00785071"/>
    <w:rsid w:val="00794CE3"/>
    <w:rsid w:val="007979EB"/>
    <w:rsid w:val="007B01CD"/>
    <w:rsid w:val="007C2769"/>
    <w:rsid w:val="007C62D7"/>
    <w:rsid w:val="007D09EA"/>
    <w:rsid w:val="007E48F6"/>
    <w:rsid w:val="007F287C"/>
    <w:rsid w:val="008003E5"/>
    <w:rsid w:val="0080095F"/>
    <w:rsid w:val="008012F9"/>
    <w:rsid w:val="0081714E"/>
    <w:rsid w:val="00820FD1"/>
    <w:rsid w:val="008225AC"/>
    <w:rsid w:val="00824A98"/>
    <w:rsid w:val="00834FB9"/>
    <w:rsid w:val="00835CAD"/>
    <w:rsid w:val="00837F2D"/>
    <w:rsid w:val="0084271A"/>
    <w:rsid w:val="00843A7C"/>
    <w:rsid w:val="00860523"/>
    <w:rsid w:val="00862359"/>
    <w:rsid w:val="00867CB0"/>
    <w:rsid w:val="00880A27"/>
    <w:rsid w:val="0088101F"/>
    <w:rsid w:val="00882A86"/>
    <w:rsid w:val="008A0A5C"/>
    <w:rsid w:val="008A279C"/>
    <w:rsid w:val="008A7E76"/>
    <w:rsid w:val="008B2C3F"/>
    <w:rsid w:val="008B5131"/>
    <w:rsid w:val="008D0B47"/>
    <w:rsid w:val="008E1AF5"/>
    <w:rsid w:val="009049BC"/>
    <w:rsid w:val="00916E36"/>
    <w:rsid w:val="00916E37"/>
    <w:rsid w:val="00920D3D"/>
    <w:rsid w:val="00920DB0"/>
    <w:rsid w:val="0092193C"/>
    <w:rsid w:val="009223DA"/>
    <w:rsid w:val="00925DC7"/>
    <w:rsid w:val="009341DB"/>
    <w:rsid w:val="0094214B"/>
    <w:rsid w:val="00945389"/>
    <w:rsid w:val="00946649"/>
    <w:rsid w:val="009476ED"/>
    <w:rsid w:val="00957B18"/>
    <w:rsid w:val="0096396D"/>
    <w:rsid w:val="00970D62"/>
    <w:rsid w:val="00977E89"/>
    <w:rsid w:val="00980C03"/>
    <w:rsid w:val="00983B88"/>
    <w:rsid w:val="009853A7"/>
    <w:rsid w:val="00994BC4"/>
    <w:rsid w:val="0099503F"/>
    <w:rsid w:val="009A103E"/>
    <w:rsid w:val="009A14F9"/>
    <w:rsid w:val="009C01C1"/>
    <w:rsid w:val="009C1822"/>
    <w:rsid w:val="009D2B67"/>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86E03"/>
    <w:rsid w:val="00AA1C99"/>
    <w:rsid w:val="00AA4A7F"/>
    <w:rsid w:val="00AA6666"/>
    <w:rsid w:val="00AB220F"/>
    <w:rsid w:val="00AC169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C44F4"/>
    <w:rsid w:val="00BC46F1"/>
    <w:rsid w:val="00BC4770"/>
    <w:rsid w:val="00BC484E"/>
    <w:rsid w:val="00BC73E1"/>
    <w:rsid w:val="00BD2362"/>
    <w:rsid w:val="00BD5DDE"/>
    <w:rsid w:val="00BE0177"/>
    <w:rsid w:val="00BE2C7F"/>
    <w:rsid w:val="00BF51C0"/>
    <w:rsid w:val="00BF5F7B"/>
    <w:rsid w:val="00C1705A"/>
    <w:rsid w:val="00C26DB8"/>
    <w:rsid w:val="00C279FB"/>
    <w:rsid w:val="00C34FE5"/>
    <w:rsid w:val="00C37B57"/>
    <w:rsid w:val="00C429D8"/>
    <w:rsid w:val="00C43408"/>
    <w:rsid w:val="00C571FF"/>
    <w:rsid w:val="00C57CFF"/>
    <w:rsid w:val="00C64C11"/>
    <w:rsid w:val="00C65DD6"/>
    <w:rsid w:val="00C81C48"/>
    <w:rsid w:val="00C8640C"/>
    <w:rsid w:val="00CA194C"/>
    <w:rsid w:val="00CA30DA"/>
    <w:rsid w:val="00CA51B6"/>
    <w:rsid w:val="00CB3922"/>
    <w:rsid w:val="00CB7F14"/>
    <w:rsid w:val="00CC12F0"/>
    <w:rsid w:val="00CD5CB0"/>
    <w:rsid w:val="00CE3AA8"/>
    <w:rsid w:val="00CE5368"/>
    <w:rsid w:val="00CF0973"/>
    <w:rsid w:val="00CF21EA"/>
    <w:rsid w:val="00D25AD0"/>
    <w:rsid w:val="00D27623"/>
    <w:rsid w:val="00D27F82"/>
    <w:rsid w:val="00D36281"/>
    <w:rsid w:val="00D377AB"/>
    <w:rsid w:val="00D40821"/>
    <w:rsid w:val="00D45A43"/>
    <w:rsid w:val="00D46306"/>
    <w:rsid w:val="00D50094"/>
    <w:rsid w:val="00D601E6"/>
    <w:rsid w:val="00D660BE"/>
    <w:rsid w:val="00D6784B"/>
    <w:rsid w:val="00D7281C"/>
    <w:rsid w:val="00D76EA4"/>
    <w:rsid w:val="00D82DD2"/>
    <w:rsid w:val="00D830A5"/>
    <w:rsid w:val="00D85A71"/>
    <w:rsid w:val="00D869C9"/>
    <w:rsid w:val="00D90D6D"/>
    <w:rsid w:val="00D972E0"/>
    <w:rsid w:val="00DA4C52"/>
    <w:rsid w:val="00DA7FB7"/>
    <w:rsid w:val="00DB1167"/>
    <w:rsid w:val="00DB6166"/>
    <w:rsid w:val="00DC0748"/>
    <w:rsid w:val="00DC4A4D"/>
    <w:rsid w:val="00DC5681"/>
    <w:rsid w:val="00DD3662"/>
    <w:rsid w:val="00DD3EF6"/>
    <w:rsid w:val="00DE0DE1"/>
    <w:rsid w:val="00DE4117"/>
    <w:rsid w:val="00DF4A6B"/>
    <w:rsid w:val="00E00A28"/>
    <w:rsid w:val="00E01BAE"/>
    <w:rsid w:val="00E1474B"/>
    <w:rsid w:val="00E2165A"/>
    <w:rsid w:val="00E22ED3"/>
    <w:rsid w:val="00E33725"/>
    <w:rsid w:val="00E34BCB"/>
    <w:rsid w:val="00E36CB7"/>
    <w:rsid w:val="00E4456A"/>
    <w:rsid w:val="00E45220"/>
    <w:rsid w:val="00E4663E"/>
    <w:rsid w:val="00E56F23"/>
    <w:rsid w:val="00E62C34"/>
    <w:rsid w:val="00E6471D"/>
    <w:rsid w:val="00E65664"/>
    <w:rsid w:val="00E66DEF"/>
    <w:rsid w:val="00E70CD0"/>
    <w:rsid w:val="00E92513"/>
    <w:rsid w:val="00E96C0B"/>
    <w:rsid w:val="00E97A59"/>
    <w:rsid w:val="00EA0764"/>
    <w:rsid w:val="00EB14C8"/>
    <w:rsid w:val="00EB4EB6"/>
    <w:rsid w:val="00EB759C"/>
    <w:rsid w:val="00EC7B0F"/>
    <w:rsid w:val="00ED6D20"/>
    <w:rsid w:val="00EE04FB"/>
    <w:rsid w:val="00EF5537"/>
    <w:rsid w:val="00F06582"/>
    <w:rsid w:val="00F170AB"/>
    <w:rsid w:val="00F27BC6"/>
    <w:rsid w:val="00F357BD"/>
    <w:rsid w:val="00F43B33"/>
    <w:rsid w:val="00F47D9E"/>
    <w:rsid w:val="00F55457"/>
    <w:rsid w:val="00F56E37"/>
    <w:rsid w:val="00F57678"/>
    <w:rsid w:val="00F76848"/>
    <w:rsid w:val="00F80257"/>
    <w:rsid w:val="00F84E1B"/>
    <w:rsid w:val="00F8683A"/>
    <w:rsid w:val="00F8793A"/>
    <w:rsid w:val="00F90B95"/>
    <w:rsid w:val="00FA4305"/>
    <w:rsid w:val="00FA6A08"/>
    <w:rsid w:val="00FB10B9"/>
    <w:rsid w:val="00FB1D25"/>
    <w:rsid w:val="00FB2D3A"/>
    <w:rsid w:val="00FB4EF4"/>
    <w:rsid w:val="00FC4B2B"/>
    <w:rsid w:val="00FC7F1C"/>
    <w:rsid w:val="00FD4811"/>
    <w:rsid w:val="00FD5237"/>
    <w:rsid w:val="00FE5BBE"/>
    <w:rsid w:val="00FF02FA"/>
    <w:rsid w:val="00FF48D8"/>
    <w:rsid w:val="01063B85"/>
    <w:rsid w:val="01165DF1"/>
    <w:rsid w:val="01395BCF"/>
    <w:rsid w:val="013B5B69"/>
    <w:rsid w:val="01467B30"/>
    <w:rsid w:val="016A4418"/>
    <w:rsid w:val="01DC07DC"/>
    <w:rsid w:val="022A6476"/>
    <w:rsid w:val="02461F85"/>
    <w:rsid w:val="027119E0"/>
    <w:rsid w:val="02A84F0F"/>
    <w:rsid w:val="02A91547"/>
    <w:rsid w:val="02B46C0F"/>
    <w:rsid w:val="02C277DA"/>
    <w:rsid w:val="02D100EF"/>
    <w:rsid w:val="02E30714"/>
    <w:rsid w:val="032B536D"/>
    <w:rsid w:val="03656C31"/>
    <w:rsid w:val="0375402E"/>
    <w:rsid w:val="03937BFF"/>
    <w:rsid w:val="03D85C36"/>
    <w:rsid w:val="03EC76CA"/>
    <w:rsid w:val="04092CED"/>
    <w:rsid w:val="04A567E7"/>
    <w:rsid w:val="04F00337"/>
    <w:rsid w:val="050C20CF"/>
    <w:rsid w:val="052729F8"/>
    <w:rsid w:val="05481387"/>
    <w:rsid w:val="05671072"/>
    <w:rsid w:val="057B562B"/>
    <w:rsid w:val="05AA19B0"/>
    <w:rsid w:val="05CC27DA"/>
    <w:rsid w:val="05F55719"/>
    <w:rsid w:val="05FE39B5"/>
    <w:rsid w:val="06330DA0"/>
    <w:rsid w:val="063521C6"/>
    <w:rsid w:val="0647725E"/>
    <w:rsid w:val="06756403"/>
    <w:rsid w:val="06896148"/>
    <w:rsid w:val="068B4AFF"/>
    <w:rsid w:val="06C436B4"/>
    <w:rsid w:val="06DF00FD"/>
    <w:rsid w:val="08010F9F"/>
    <w:rsid w:val="082F03E7"/>
    <w:rsid w:val="083365EF"/>
    <w:rsid w:val="08AD5263"/>
    <w:rsid w:val="09443F19"/>
    <w:rsid w:val="09653B7E"/>
    <w:rsid w:val="09A864F7"/>
    <w:rsid w:val="09A945F1"/>
    <w:rsid w:val="09D92EB8"/>
    <w:rsid w:val="0A0A37C6"/>
    <w:rsid w:val="0A0E23B7"/>
    <w:rsid w:val="0A614062"/>
    <w:rsid w:val="0A835730"/>
    <w:rsid w:val="0ABC492E"/>
    <w:rsid w:val="0ADA05CF"/>
    <w:rsid w:val="0B1138F3"/>
    <w:rsid w:val="0B123190"/>
    <w:rsid w:val="0B1D7BF4"/>
    <w:rsid w:val="0B7E7D3E"/>
    <w:rsid w:val="0B8F42CE"/>
    <w:rsid w:val="0BAB6B01"/>
    <w:rsid w:val="0BCB0D31"/>
    <w:rsid w:val="0C161D4C"/>
    <w:rsid w:val="0C51214B"/>
    <w:rsid w:val="0C714757"/>
    <w:rsid w:val="0D2B6144"/>
    <w:rsid w:val="0D72599B"/>
    <w:rsid w:val="0DB75942"/>
    <w:rsid w:val="0DF25562"/>
    <w:rsid w:val="0DFF109F"/>
    <w:rsid w:val="0E254184"/>
    <w:rsid w:val="0E2A6B81"/>
    <w:rsid w:val="0E3F2C8A"/>
    <w:rsid w:val="0E531B46"/>
    <w:rsid w:val="0E74263E"/>
    <w:rsid w:val="0E7E1615"/>
    <w:rsid w:val="0E8720C5"/>
    <w:rsid w:val="0EC97F26"/>
    <w:rsid w:val="0F16223C"/>
    <w:rsid w:val="0F166919"/>
    <w:rsid w:val="0F37524C"/>
    <w:rsid w:val="0F560E74"/>
    <w:rsid w:val="0F751B29"/>
    <w:rsid w:val="0F827C9F"/>
    <w:rsid w:val="0F933CDF"/>
    <w:rsid w:val="10033C33"/>
    <w:rsid w:val="10580A78"/>
    <w:rsid w:val="105B2F74"/>
    <w:rsid w:val="10C92421"/>
    <w:rsid w:val="10D86B12"/>
    <w:rsid w:val="116F78BB"/>
    <w:rsid w:val="11A40FE9"/>
    <w:rsid w:val="11B5078F"/>
    <w:rsid w:val="122875DD"/>
    <w:rsid w:val="12370775"/>
    <w:rsid w:val="123D11F0"/>
    <w:rsid w:val="12505FC3"/>
    <w:rsid w:val="126A6551"/>
    <w:rsid w:val="127E4F87"/>
    <w:rsid w:val="12AB7836"/>
    <w:rsid w:val="12FA0D70"/>
    <w:rsid w:val="13563CA5"/>
    <w:rsid w:val="13944FA1"/>
    <w:rsid w:val="139B7BBE"/>
    <w:rsid w:val="13A838A9"/>
    <w:rsid w:val="13AF7FAF"/>
    <w:rsid w:val="141B48D5"/>
    <w:rsid w:val="141E4A59"/>
    <w:rsid w:val="14275CE2"/>
    <w:rsid w:val="14524769"/>
    <w:rsid w:val="14913302"/>
    <w:rsid w:val="149724BB"/>
    <w:rsid w:val="14A74B12"/>
    <w:rsid w:val="14DA4CE9"/>
    <w:rsid w:val="14E21080"/>
    <w:rsid w:val="15251384"/>
    <w:rsid w:val="153C1C06"/>
    <w:rsid w:val="155B6658"/>
    <w:rsid w:val="158B0088"/>
    <w:rsid w:val="15B35B0C"/>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7D02768"/>
    <w:rsid w:val="18677C93"/>
    <w:rsid w:val="186F4725"/>
    <w:rsid w:val="18D0549C"/>
    <w:rsid w:val="18F60254"/>
    <w:rsid w:val="190279AD"/>
    <w:rsid w:val="190C4DB6"/>
    <w:rsid w:val="196E53E9"/>
    <w:rsid w:val="198A6FBE"/>
    <w:rsid w:val="1A023791"/>
    <w:rsid w:val="1A2531BE"/>
    <w:rsid w:val="1A2E6061"/>
    <w:rsid w:val="1A7E089E"/>
    <w:rsid w:val="1A96751F"/>
    <w:rsid w:val="1AD65F68"/>
    <w:rsid w:val="1AE00A00"/>
    <w:rsid w:val="1B041D05"/>
    <w:rsid w:val="1B356E73"/>
    <w:rsid w:val="1B773170"/>
    <w:rsid w:val="1B884B8B"/>
    <w:rsid w:val="1B9A7F5E"/>
    <w:rsid w:val="1BAA10B9"/>
    <w:rsid w:val="1BDF74E0"/>
    <w:rsid w:val="1BE05E74"/>
    <w:rsid w:val="1BEB4D45"/>
    <w:rsid w:val="1BEE3105"/>
    <w:rsid w:val="1BF013A7"/>
    <w:rsid w:val="1BF424CD"/>
    <w:rsid w:val="1BF82C6F"/>
    <w:rsid w:val="1C0306B3"/>
    <w:rsid w:val="1C7C4C8E"/>
    <w:rsid w:val="1CAF3D98"/>
    <w:rsid w:val="1CBD0DEA"/>
    <w:rsid w:val="1CCD13C5"/>
    <w:rsid w:val="1D00751C"/>
    <w:rsid w:val="1D4A58DE"/>
    <w:rsid w:val="1D554381"/>
    <w:rsid w:val="1DC32EC8"/>
    <w:rsid w:val="1DF118B9"/>
    <w:rsid w:val="1E1A4FFC"/>
    <w:rsid w:val="1EA20865"/>
    <w:rsid w:val="1EAD261A"/>
    <w:rsid w:val="1EE6689D"/>
    <w:rsid w:val="1F0F1522"/>
    <w:rsid w:val="1F2409A2"/>
    <w:rsid w:val="1F50091F"/>
    <w:rsid w:val="1F712062"/>
    <w:rsid w:val="1F85145B"/>
    <w:rsid w:val="1F8B6860"/>
    <w:rsid w:val="1F9223DA"/>
    <w:rsid w:val="1FC141CA"/>
    <w:rsid w:val="1FEF63CF"/>
    <w:rsid w:val="1FF527A0"/>
    <w:rsid w:val="201410A4"/>
    <w:rsid w:val="201F3FDF"/>
    <w:rsid w:val="202577FD"/>
    <w:rsid w:val="20322812"/>
    <w:rsid w:val="205D7F35"/>
    <w:rsid w:val="20E66CE7"/>
    <w:rsid w:val="2100389B"/>
    <w:rsid w:val="21323FED"/>
    <w:rsid w:val="21472397"/>
    <w:rsid w:val="21B965F4"/>
    <w:rsid w:val="21CC4007"/>
    <w:rsid w:val="21D355A1"/>
    <w:rsid w:val="21EB28E9"/>
    <w:rsid w:val="21F45D15"/>
    <w:rsid w:val="21FD4BA1"/>
    <w:rsid w:val="221231E2"/>
    <w:rsid w:val="222B298D"/>
    <w:rsid w:val="22404FE6"/>
    <w:rsid w:val="22445A9A"/>
    <w:rsid w:val="22D93518"/>
    <w:rsid w:val="231A0621"/>
    <w:rsid w:val="235131B8"/>
    <w:rsid w:val="239C7D31"/>
    <w:rsid w:val="23A728F1"/>
    <w:rsid w:val="23AF0CF7"/>
    <w:rsid w:val="23B5124C"/>
    <w:rsid w:val="23B57F82"/>
    <w:rsid w:val="23BB4AEB"/>
    <w:rsid w:val="23EA5474"/>
    <w:rsid w:val="24187ABD"/>
    <w:rsid w:val="242D3F48"/>
    <w:rsid w:val="244A5F53"/>
    <w:rsid w:val="24514C05"/>
    <w:rsid w:val="24712BF3"/>
    <w:rsid w:val="24CD2DBF"/>
    <w:rsid w:val="24DD0A5A"/>
    <w:rsid w:val="254A4D7E"/>
    <w:rsid w:val="255E564F"/>
    <w:rsid w:val="25D0653B"/>
    <w:rsid w:val="261B45F6"/>
    <w:rsid w:val="262F5D44"/>
    <w:rsid w:val="264E6885"/>
    <w:rsid w:val="266D2CB0"/>
    <w:rsid w:val="26814539"/>
    <w:rsid w:val="268F4575"/>
    <w:rsid w:val="26DF67A3"/>
    <w:rsid w:val="27083A8B"/>
    <w:rsid w:val="271E0C2A"/>
    <w:rsid w:val="27315B57"/>
    <w:rsid w:val="27880B62"/>
    <w:rsid w:val="27DC5612"/>
    <w:rsid w:val="283D0B6D"/>
    <w:rsid w:val="285B0F61"/>
    <w:rsid w:val="286A7EDB"/>
    <w:rsid w:val="28E11BD8"/>
    <w:rsid w:val="28EF1C12"/>
    <w:rsid w:val="28FE5387"/>
    <w:rsid w:val="290869A5"/>
    <w:rsid w:val="294314D9"/>
    <w:rsid w:val="297974E4"/>
    <w:rsid w:val="298151DC"/>
    <w:rsid w:val="29B32A96"/>
    <w:rsid w:val="2A083BDD"/>
    <w:rsid w:val="2A3055AC"/>
    <w:rsid w:val="2A4E7813"/>
    <w:rsid w:val="2A9D70B6"/>
    <w:rsid w:val="2AF25DEB"/>
    <w:rsid w:val="2AFB23DE"/>
    <w:rsid w:val="2B2340D8"/>
    <w:rsid w:val="2B254BE6"/>
    <w:rsid w:val="2B516ED1"/>
    <w:rsid w:val="2B5A5F70"/>
    <w:rsid w:val="2BA717F6"/>
    <w:rsid w:val="2BD76AD6"/>
    <w:rsid w:val="2BDA47EA"/>
    <w:rsid w:val="2C000778"/>
    <w:rsid w:val="2C26795A"/>
    <w:rsid w:val="2C506FA1"/>
    <w:rsid w:val="2CC04518"/>
    <w:rsid w:val="2CCC070F"/>
    <w:rsid w:val="2CD07C9A"/>
    <w:rsid w:val="2D0F41DC"/>
    <w:rsid w:val="2D3D1825"/>
    <w:rsid w:val="2D453EBA"/>
    <w:rsid w:val="2D715FDD"/>
    <w:rsid w:val="2D7E7532"/>
    <w:rsid w:val="2DBF358B"/>
    <w:rsid w:val="2DD73993"/>
    <w:rsid w:val="2DEF3160"/>
    <w:rsid w:val="2E3F1BF0"/>
    <w:rsid w:val="2E833134"/>
    <w:rsid w:val="2E893AFD"/>
    <w:rsid w:val="2ECB7D9E"/>
    <w:rsid w:val="2ED81F14"/>
    <w:rsid w:val="2EDB0A09"/>
    <w:rsid w:val="2EDC5FF0"/>
    <w:rsid w:val="2EE06C80"/>
    <w:rsid w:val="2F173D58"/>
    <w:rsid w:val="2F2A037F"/>
    <w:rsid w:val="2F496EAE"/>
    <w:rsid w:val="2F5C2490"/>
    <w:rsid w:val="2F6F130B"/>
    <w:rsid w:val="2FBD0BFC"/>
    <w:rsid w:val="2FCA5FC1"/>
    <w:rsid w:val="300034E2"/>
    <w:rsid w:val="30517FC6"/>
    <w:rsid w:val="30641B2D"/>
    <w:rsid w:val="306F3AF1"/>
    <w:rsid w:val="30843B7C"/>
    <w:rsid w:val="30D268B3"/>
    <w:rsid w:val="30EC42EC"/>
    <w:rsid w:val="3119196A"/>
    <w:rsid w:val="31906849"/>
    <w:rsid w:val="31967E50"/>
    <w:rsid w:val="31A6047E"/>
    <w:rsid w:val="31BB7A41"/>
    <w:rsid w:val="31D73703"/>
    <w:rsid w:val="32087FE5"/>
    <w:rsid w:val="322C3082"/>
    <w:rsid w:val="322C6358"/>
    <w:rsid w:val="325A05E8"/>
    <w:rsid w:val="325C5534"/>
    <w:rsid w:val="32770DC3"/>
    <w:rsid w:val="32B372F1"/>
    <w:rsid w:val="3368581C"/>
    <w:rsid w:val="33847431"/>
    <w:rsid w:val="33A77BE2"/>
    <w:rsid w:val="33C12663"/>
    <w:rsid w:val="346C080D"/>
    <w:rsid w:val="3475525E"/>
    <w:rsid w:val="34AB1F4C"/>
    <w:rsid w:val="34C215C5"/>
    <w:rsid w:val="356361DD"/>
    <w:rsid w:val="358B3FD3"/>
    <w:rsid w:val="35D856BC"/>
    <w:rsid w:val="35FD6043"/>
    <w:rsid w:val="363A34EC"/>
    <w:rsid w:val="36484A3D"/>
    <w:rsid w:val="367C7A12"/>
    <w:rsid w:val="36812A82"/>
    <w:rsid w:val="36874FEB"/>
    <w:rsid w:val="369001A3"/>
    <w:rsid w:val="36A63FA8"/>
    <w:rsid w:val="36E552F6"/>
    <w:rsid w:val="36EC355D"/>
    <w:rsid w:val="37053BC2"/>
    <w:rsid w:val="37187DA3"/>
    <w:rsid w:val="37901119"/>
    <w:rsid w:val="37B75B6C"/>
    <w:rsid w:val="37E81DCD"/>
    <w:rsid w:val="37F046AF"/>
    <w:rsid w:val="38814B16"/>
    <w:rsid w:val="38893187"/>
    <w:rsid w:val="389D479E"/>
    <w:rsid w:val="38BB2FA7"/>
    <w:rsid w:val="38C05D04"/>
    <w:rsid w:val="38C30565"/>
    <w:rsid w:val="394B74E7"/>
    <w:rsid w:val="39A612AC"/>
    <w:rsid w:val="3A5B3A1F"/>
    <w:rsid w:val="3AED1469"/>
    <w:rsid w:val="3B061E23"/>
    <w:rsid w:val="3B2E6E63"/>
    <w:rsid w:val="3B3F1070"/>
    <w:rsid w:val="3B41652E"/>
    <w:rsid w:val="3B5775CF"/>
    <w:rsid w:val="3B6A71BB"/>
    <w:rsid w:val="3B7C2988"/>
    <w:rsid w:val="3B9E5DC9"/>
    <w:rsid w:val="3BB56BB4"/>
    <w:rsid w:val="3BB73297"/>
    <w:rsid w:val="3BE05D78"/>
    <w:rsid w:val="3C005F63"/>
    <w:rsid w:val="3C0E4465"/>
    <w:rsid w:val="3C1105A8"/>
    <w:rsid w:val="3C705238"/>
    <w:rsid w:val="3C711B50"/>
    <w:rsid w:val="3C93570E"/>
    <w:rsid w:val="3CD12C4B"/>
    <w:rsid w:val="3CEE2E12"/>
    <w:rsid w:val="3D030D74"/>
    <w:rsid w:val="3D374A81"/>
    <w:rsid w:val="3D461E16"/>
    <w:rsid w:val="3D6E60A8"/>
    <w:rsid w:val="3D6F1E53"/>
    <w:rsid w:val="3D851546"/>
    <w:rsid w:val="3D920E5C"/>
    <w:rsid w:val="3D977A9A"/>
    <w:rsid w:val="3DAE1844"/>
    <w:rsid w:val="3DB468DE"/>
    <w:rsid w:val="3E0032E9"/>
    <w:rsid w:val="3E2256DD"/>
    <w:rsid w:val="3E397CCE"/>
    <w:rsid w:val="3E701A2B"/>
    <w:rsid w:val="3E8F5950"/>
    <w:rsid w:val="3EA40F37"/>
    <w:rsid w:val="3ECB7789"/>
    <w:rsid w:val="3ED71570"/>
    <w:rsid w:val="3EDF794D"/>
    <w:rsid w:val="3EFC6118"/>
    <w:rsid w:val="3EFD042E"/>
    <w:rsid w:val="3F06596B"/>
    <w:rsid w:val="3F223921"/>
    <w:rsid w:val="3F2C712D"/>
    <w:rsid w:val="3F360C6D"/>
    <w:rsid w:val="3F433AF5"/>
    <w:rsid w:val="3FA76C60"/>
    <w:rsid w:val="3FE233B6"/>
    <w:rsid w:val="3FED3288"/>
    <w:rsid w:val="40030413"/>
    <w:rsid w:val="400E1B56"/>
    <w:rsid w:val="405326F6"/>
    <w:rsid w:val="406F4C49"/>
    <w:rsid w:val="40702669"/>
    <w:rsid w:val="40900C3E"/>
    <w:rsid w:val="41247753"/>
    <w:rsid w:val="41946A1F"/>
    <w:rsid w:val="419951A9"/>
    <w:rsid w:val="41B36950"/>
    <w:rsid w:val="41BF4C18"/>
    <w:rsid w:val="41C50484"/>
    <w:rsid w:val="41D33B5C"/>
    <w:rsid w:val="421F5686"/>
    <w:rsid w:val="42241DAD"/>
    <w:rsid w:val="42254B26"/>
    <w:rsid w:val="42405ECD"/>
    <w:rsid w:val="424468E2"/>
    <w:rsid w:val="426008BF"/>
    <w:rsid w:val="4280111A"/>
    <w:rsid w:val="42B9054D"/>
    <w:rsid w:val="42FC5F96"/>
    <w:rsid w:val="43023760"/>
    <w:rsid w:val="435B0C45"/>
    <w:rsid w:val="436E4F76"/>
    <w:rsid w:val="437B17A0"/>
    <w:rsid w:val="43811F7D"/>
    <w:rsid w:val="438748BC"/>
    <w:rsid w:val="43AC1721"/>
    <w:rsid w:val="43C37289"/>
    <w:rsid w:val="43DD4161"/>
    <w:rsid w:val="44652D69"/>
    <w:rsid w:val="44F91FA3"/>
    <w:rsid w:val="451344E9"/>
    <w:rsid w:val="455C0E29"/>
    <w:rsid w:val="457C0A92"/>
    <w:rsid w:val="45833D44"/>
    <w:rsid w:val="45A70FEE"/>
    <w:rsid w:val="45C97925"/>
    <w:rsid w:val="45F537FA"/>
    <w:rsid w:val="45FC1428"/>
    <w:rsid w:val="461C4929"/>
    <w:rsid w:val="463C6A04"/>
    <w:rsid w:val="46767CE1"/>
    <w:rsid w:val="46BA7904"/>
    <w:rsid w:val="46BB2D2A"/>
    <w:rsid w:val="46FF705F"/>
    <w:rsid w:val="47352CFF"/>
    <w:rsid w:val="47420097"/>
    <w:rsid w:val="474A0E33"/>
    <w:rsid w:val="475057F8"/>
    <w:rsid w:val="477063D1"/>
    <w:rsid w:val="47772C9F"/>
    <w:rsid w:val="47A16EF9"/>
    <w:rsid w:val="47C40741"/>
    <w:rsid w:val="48286340"/>
    <w:rsid w:val="485C47A8"/>
    <w:rsid w:val="488442F6"/>
    <w:rsid w:val="48D725D0"/>
    <w:rsid w:val="49114C05"/>
    <w:rsid w:val="495E3995"/>
    <w:rsid w:val="49954ECE"/>
    <w:rsid w:val="49B36105"/>
    <w:rsid w:val="49B56E3E"/>
    <w:rsid w:val="4A152D55"/>
    <w:rsid w:val="4A5566FC"/>
    <w:rsid w:val="4AA719FD"/>
    <w:rsid w:val="4ADF2C8F"/>
    <w:rsid w:val="4AF55A96"/>
    <w:rsid w:val="4B0F44D7"/>
    <w:rsid w:val="4B8447D8"/>
    <w:rsid w:val="4B856321"/>
    <w:rsid w:val="4BBF3EF5"/>
    <w:rsid w:val="4C044C26"/>
    <w:rsid w:val="4C2A7B06"/>
    <w:rsid w:val="4C407B4F"/>
    <w:rsid w:val="4C5676EA"/>
    <w:rsid w:val="4C6051EA"/>
    <w:rsid w:val="4C6C7925"/>
    <w:rsid w:val="4C72375A"/>
    <w:rsid w:val="4C7B5D29"/>
    <w:rsid w:val="4CCC1A08"/>
    <w:rsid w:val="4D097130"/>
    <w:rsid w:val="4D1E4058"/>
    <w:rsid w:val="4D425C2B"/>
    <w:rsid w:val="4D9D33A7"/>
    <w:rsid w:val="4E1108EE"/>
    <w:rsid w:val="4E3A178C"/>
    <w:rsid w:val="4E846D5F"/>
    <w:rsid w:val="4EC217CD"/>
    <w:rsid w:val="4EDB52F8"/>
    <w:rsid w:val="4EE239A9"/>
    <w:rsid w:val="4EE32C97"/>
    <w:rsid w:val="4EE6663D"/>
    <w:rsid w:val="4F6F0649"/>
    <w:rsid w:val="4F7D027D"/>
    <w:rsid w:val="4FAE4FA0"/>
    <w:rsid w:val="4FB9314F"/>
    <w:rsid w:val="4FBB5428"/>
    <w:rsid w:val="4FF17ED4"/>
    <w:rsid w:val="4FF635DA"/>
    <w:rsid w:val="4FFA438D"/>
    <w:rsid w:val="500251D5"/>
    <w:rsid w:val="50D02C3B"/>
    <w:rsid w:val="50F65411"/>
    <w:rsid w:val="510908A1"/>
    <w:rsid w:val="511C2CD6"/>
    <w:rsid w:val="5125221F"/>
    <w:rsid w:val="5159325C"/>
    <w:rsid w:val="516D3237"/>
    <w:rsid w:val="51FF5776"/>
    <w:rsid w:val="528125B7"/>
    <w:rsid w:val="529259F2"/>
    <w:rsid w:val="52AA63E3"/>
    <w:rsid w:val="52CC0AC1"/>
    <w:rsid w:val="52F80DED"/>
    <w:rsid w:val="5301296A"/>
    <w:rsid w:val="53025D7D"/>
    <w:rsid w:val="53114D28"/>
    <w:rsid w:val="534966F0"/>
    <w:rsid w:val="538872FA"/>
    <w:rsid w:val="53D55568"/>
    <w:rsid w:val="53F542B2"/>
    <w:rsid w:val="54092845"/>
    <w:rsid w:val="542907BA"/>
    <w:rsid w:val="545D7EF5"/>
    <w:rsid w:val="546E5809"/>
    <w:rsid w:val="547E15D2"/>
    <w:rsid w:val="554715D9"/>
    <w:rsid w:val="55664E19"/>
    <w:rsid w:val="557503A3"/>
    <w:rsid w:val="558336C6"/>
    <w:rsid w:val="558C72FE"/>
    <w:rsid w:val="55AD72AE"/>
    <w:rsid w:val="55DC1E71"/>
    <w:rsid w:val="560924D3"/>
    <w:rsid w:val="561C5B13"/>
    <w:rsid w:val="562E6962"/>
    <w:rsid w:val="563B6F96"/>
    <w:rsid w:val="5690004B"/>
    <w:rsid w:val="56B605C4"/>
    <w:rsid w:val="56BD29CD"/>
    <w:rsid w:val="56C218CF"/>
    <w:rsid w:val="570D65A0"/>
    <w:rsid w:val="57355E17"/>
    <w:rsid w:val="575156C8"/>
    <w:rsid w:val="575A1549"/>
    <w:rsid w:val="57661B42"/>
    <w:rsid w:val="57E80E8F"/>
    <w:rsid w:val="5804499B"/>
    <w:rsid w:val="58901F1A"/>
    <w:rsid w:val="589B1C94"/>
    <w:rsid w:val="58A87F43"/>
    <w:rsid w:val="58CD5F1F"/>
    <w:rsid w:val="5929084D"/>
    <w:rsid w:val="59642F62"/>
    <w:rsid w:val="59803A68"/>
    <w:rsid w:val="59B71893"/>
    <w:rsid w:val="59B97267"/>
    <w:rsid w:val="5A026326"/>
    <w:rsid w:val="5A1908A5"/>
    <w:rsid w:val="5A333010"/>
    <w:rsid w:val="5A416118"/>
    <w:rsid w:val="5A5D703A"/>
    <w:rsid w:val="5A6E49DB"/>
    <w:rsid w:val="5A9E0EC6"/>
    <w:rsid w:val="5AA72961"/>
    <w:rsid w:val="5AD02317"/>
    <w:rsid w:val="5ADD15E9"/>
    <w:rsid w:val="5B5130BA"/>
    <w:rsid w:val="5B5A0CA5"/>
    <w:rsid w:val="5B621CD0"/>
    <w:rsid w:val="5BC566C4"/>
    <w:rsid w:val="5C23137D"/>
    <w:rsid w:val="5C810E0A"/>
    <w:rsid w:val="5CF44B95"/>
    <w:rsid w:val="5D237FE4"/>
    <w:rsid w:val="5D491BDC"/>
    <w:rsid w:val="5D6809FE"/>
    <w:rsid w:val="5D6F1F64"/>
    <w:rsid w:val="5DE57A54"/>
    <w:rsid w:val="5E2A0D3F"/>
    <w:rsid w:val="5E356207"/>
    <w:rsid w:val="5E5B5C14"/>
    <w:rsid w:val="5EC05D2B"/>
    <w:rsid w:val="5ECF0CC0"/>
    <w:rsid w:val="5F275830"/>
    <w:rsid w:val="5F2C2BA7"/>
    <w:rsid w:val="5F7145D4"/>
    <w:rsid w:val="5F7B6EF0"/>
    <w:rsid w:val="5F887BAA"/>
    <w:rsid w:val="5FCE7F8D"/>
    <w:rsid w:val="5FDE0A96"/>
    <w:rsid w:val="5FF77AFB"/>
    <w:rsid w:val="600341B3"/>
    <w:rsid w:val="60351696"/>
    <w:rsid w:val="60652890"/>
    <w:rsid w:val="6071574E"/>
    <w:rsid w:val="6078081A"/>
    <w:rsid w:val="60F63D5B"/>
    <w:rsid w:val="61206ADA"/>
    <w:rsid w:val="612401DE"/>
    <w:rsid w:val="61B340E1"/>
    <w:rsid w:val="622A49E9"/>
    <w:rsid w:val="62AB34E7"/>
    <w:rsid w:val="62DF07B9"/>
    <w:rsid w:val="62F042AF"/>
    <w:rsid w:val="6321347B"/>
    <w:rsid w:val="632919C8"/>
    <w:rsid w:val="639F098E"/>
    <w:rsid w:val="63C10B27"/>
    <w:rsid w:val="63EC3EE2"/>
    <w:rsid w:val="641535E7"/>
    <w:rsid w:val="64533225"/>
    <w:rsid w:val="6482023B"/>
    <w:rsid w:val="649E1B12"/>
    <w:rsid w:val="64C00761"/>
    <w:rsid w:val="64CC0B98"/>
    <w:rsid w:val="64E03F02"/>
    <w:rsid w:val="650A097D"/>
    <w:rsid w:val="65477B59"/>
    <w:rsid w:val="654D0EAC"/>
    <w:rsid w:val="655354D4"/>
    <w:rsid w:val="65631FD8"/>
    <w:rsid w:val="662415C5"/>
    <w:rsid w:val="66631AA7"/>
    <w:rsid w:val="66753567"/>
    <w:rsid w:val="668E3135"/>
    <w:rsid w:val="66AD5F38"/>
    <w:rsid w:val="66B31FD3"/>
    <w:rsid w:val="66BE2F21"/>
    <w:rsid w:val="66EA5BC7"/>
    <w:rsid w:val="67091836"/>
    <w:rsid w:val="678570EE"/>
    <w:rsid w:val="67AC1F5B"/>
    <w:rsid w:val="682D7CC7"/>
    <w:rsid w:val="683352C3"/>
    <w:rsid w:val="684C593C"/>
    <w:rsid w:val="68690420"/>
    <w:rsid w:val="6887226F"/>
    <w:rsid w:val="68E74766"/>
    <w:rsid w:val="68F64CD5"/>
    <w:rsid w:val="6951023E"/>
    <w:rsid w:val="698357EC"/>
    <w:rsid w:val="69B42D88"/>
    <w:rsid w:val="69FC4B88"/>
    <w:rsid w:val="6A5D6F4A"/>
    <w:rsid w:val="6A701B92"/>
    <w:rsid w:val="6AA30968"/>
    <w:rsid w:val="6AC144EA"/>
    <w:rsid w:val="6AD454CE"/>
    <w:rsid w:val="6B0C45DB"/>
    <w:rsid w:val="6B113325"/>
    <w:rsid w:val="6B305DFC"/>
    <w:rsid w:val="6B753DA1"/>
    <w:rsid w:val="6BAB7B12"/>
    <w:rsid w:val="6BC9655D"/>
    <w:rsid w:val="6BE177D1"/>
    <w:rsid w:val="6C0A2496"/>
    <w:rsid w:val="6C235482"/>
    <w:rsid w:val="6C271944"/>
    <w:rsid w:val="6C2C6C3C"/>
    <w:rsid w:val="6C36100E"/>
    <w:rsid w:val="6C3E5F91"/>
    <w:rsid w:val="6C9C01D7"/>
    <w:rsid w:val="6CC7130E"/>
    <w:rsid w:val="6D120150"/>
    <w:rsid w:val="6D13026A"/>
    <w:rsid w:val="6D894D9C"/>
    <w:rsid w:val="6DF94336"/>
    <w:rsid w:val="6E1570A2"/>
    <w:rsid w:val="6E1B11D3"/>
    <w:rsid w:val="6E241D59"/>
    <w:rsid w:val="6E550784"/>
    <w:rsid w:val="6EA93133"/>
    <w:rsid w:val="6EB45633"/>
    <w:rsid w:val="6EE61D01"/>
    <w:rsid w:val="6F3740C4"/>
    <w:rsid w:val="6F5123CF"/>
    <w:rsid w:val="6F6547CE"/>
    <w:rsid w:val="6F700852"/>
    <w:rsid w:val="6F7C40EA"/>
    <w:rsid w:val="6F980030"/>
    <w:rsid w:val="6FBE0A90"/>
    <w:rsid w:val="70092D20"/>
    <w:rsid w:val="701A0774"/>
    <w:rsid w:val="702D2A02"/>
    <w:rsid w:val="70336D01"/>
    <w:rsid w:val="707C0599"/>
    <w:rsid w:val="70885B3B"/>
    <w:rsid w:val="708C0DA3"/>
    <w:rsid w:val="709D4152"/>
    <w:rsid w:val="70CE3EFF"/>
    <w:rsid w:val="70E57494"/>
    <w:rsid w:val="713B2668"/>
    <w:rsid w:val="714F4DA8"/>
    <w:rsid w:val="715C5942"/>
    <w:rsid w:val="71733DC9"/>
    <w:rsid w:val="71A90EDE"/>
    <w:rsid w:val="71C945D8"/>
    <w:rsid w:val="72210632"/>
    <w:rsid w:val="72392D7E"/>
    <w:rsid w:val="72C761F2"/>
    <w:rsid w:val="739756DF"/>
    <w:rsid w:val="73E610C9"/>
    <w:rsid w:val="73F841D0"/>
    <w:rsid w:val="7426796C"/>
    <w:rsid w:val="7464691F"/>
    <w:rsid w:val="74AD0116"/>
    <w:rsid w:val="74AE54C6"/>
    <w:rsid w:val="74C27D89"/>
    <w:rsid w:val="74DD2769"/>
    <w:rsid w:val="74E4497B"/>
    <w:rsid w:val="74FE7E54"/>
    <w:rsid w:val="751178C4"/>
    <w:rsid w:val="755A5E33"/>
    <w:rsid w:val="755F1F68"/>
    <w:rsid w:val="75B26FAD"/>
    <w:rsid w:val="75C80C21"/>
    <w:rsid w:val="75DC45E2"/>
    <w:rsid w:val="75EB41E5"/>
    <w:rsid w:val="75F8423A"/>
    <w:rsid w:val="76044881"/>
    <w:rsid w:val="76256867"/>
    <w:rsid w:val="765354E4"/>
    <w:rsid w:val="765558A9"/>
    <w:rsid w:val="765E2CBA"/>
    <w:rsid w:val="76713FA6"/>
    <w:rsid w:val="768E3B23"/>
    <w:rsid w:val="76924A40"/>
    <w:rsid w:val="76B95BE9"/>
    <w:rsid w:val="76C35395"/>
    <w:rsid w:val="76FB26C3"/>
    <w:rsid w:val="772733B3"/>
    <w:rsid w:val="772C754E"/>
    <w:rsid w:val="772D3A2F"/>
    <w:rsid w:val="773477B4"/>
    <w:rsid w:val="773B4A16"/>
    <w:rsid w:val="774656E5"/>
    <w:rsid w:val="774853AF"/>
    <w:rsid w:val="776C64D8"/>
    <w:rsid w:val="77807673"/>
    <w:rsid w:val="779F1E52"/>
    <w:rsid w:val="77BB14B5"/>
    <w:rsid w:val="77F47AAC"/>
    <w:rsid w:val="78007394"/>
    <w:rsid w:val="782651FF"/>
    <w:rsid w:val="78AF3D9A"/>
    <w:rsid w:val="78EF1B8C"/>
    <w:rsid w:val="790734D8"/>
    <w:rsid w:val="79216434"/>
    <w:rsid w:val="7926142F"/>
    <w:rsid w:val="79354709"/>
    <w:rsid w:val="793D7005"/>
    <w:rsid w:val="79BC046C"/>
    <w:rsid w:val="79CD66DC"/>
    <w:rsid w:val="79E31054"/>
    <w:rsid w:val="79F545BA"/>
    <w:rsid w:val="7A114E21"/>
    <w:rsid w:val="7A551352"/>
    <w:rsid w:val="7A9314DB"/>
    <w:rsid w:val="7A9F3085"/>
    <w:rsid w:val="7AA51178"/>
    <w:rsid w:val="7AC03A87"/>
    <w:rsid w:val="7AF66B47"/>
    <w:rsid w:val="7B1B46A5"/>
    <w:rsid w:val="7B2C18EF"/>
    <w:rsid w:val="7B303307"/>
    <w:rsid w:val="7B4C1606"/>
    <w:rsid w:val="7BB018A3"/>
    <w:rsid w:val="7BBA172C"/>
    <w:rsid w:val="7BF87741"/>
    <w:rsid w:val="7C596986"/>
    <w:rsid w:val="7C65567C"/>
    <w:rsid w:val="7CF35045"/>
    <w:rsid w:val="7D1D2FF3"/>
    <w:rsid w:val="7D3D5791"/>
    <w:rsid w:val="7D6F5E6C"/>
    <w:rsid w:val="7DA07B76"/>
    <w:rsid w:val="7DA55D0B"/>
    <w:rsid w:val="7DE95BAD"/>
    <w:rsid w:val="7DEF1E12"/>
    <w:rsid w:val="7DF628AD"/>
    <w:rsid w:val="7E024891"/>
    <w:rsid w:val="7E08508D"/>
    <w:rsid w:val="7E154A2A"/>
    <w:rsid w:val="7E3126D6"/>
    <w:rsid w:val="7E8A093C"/>
    <w:rsid w:val="7F435358"/>
    <w:rsid w:val="7FA77278"/>
    <w:rsid w:val="7FF374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link w:val="16"/>
    <w:qFormat/>
    <w:locked/>
    <w:uiPriority w:val="99"/>
    <w:pPr>
      <w:keepNext/>
      <w:keepLines/>
      <w:spacing w:before="260" w:after="260" w:line="413" w:lineRule="auto"/>
      <w:outlineLvl w:val="2"/>
    </w:pPr>
    <w:rPr>
      <w:b/>
      <w:bCs/>
      <w:kern w:val="0"/>
    </w:rPr>
  </w:style>
  <w:style w:type="paragraph" w:styleId="4">
    <w:name w:val="heading 4"/>
    <w:basedOn w:val="1"/>
    <w:next w:val="1"/>
    <w:link w:val="24"/>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5">
    <w:name w:val="annotation text"/>
    <w:basedOn w:val="1"/>
    <w:link w:val="21"/>
    <w:semiHidden/>
    <w:qFormat/>
    <w:uiPriority w:val="99"/>
    <w:pPr>
      <w:jc w:val="left"/>
    </w:pPr>
  </w:style>
  <w:style w:type="paragraph" w:styleId="6">
    <w:name w:val="Body Text"/>
    <w:basedOn w:val="1"/>
    <w:link w:val="25"/>
    <w:qFormat/>
    <w:uiPriority w:val="1"/>
    <w:pPr>
      <w:autoSpaceDE w:val="0"/>
      <w:autoSpaceDN w:val="0"/>
      <w:jc w:val="left"/>
    </w:pPr>
    <w:rPr>
      <w:rFonts w:ascii="宋体" w:hAnsi="宋体" w:cs="宋体"/>
      <w:kern w:val="0"/>
      <w:sz w:val="30"/>
      <w:szCs w:val="30"/>
      <w:lang w:val="zh-CN" w:bidi="zh-CN"/>
    </w:rPr>
  </w:style>
  <w:style w:type="paragraph" w:styleId="7">
    <w:name w:val="Balloon Text"/>
    <w:basedOn w:val="1"/>
    <w:link w:val="23"/>
    <w:semiHidden/>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kern w:val="0"/>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0"/>
    <w:pPr>
      <w:spacing w:beforeAutospacing="1" w:afterAutospacing="1"/>
      <w:jc w:val="left"/>
    </w:pPr>
    <w:rPr>
      <w:rFonts w:ascii="Calibri" w:hAnsi="Calibri"/>
      <w:kern w:val="0"/>
      <w:sz w:val="24"/>
      <w:szCs w:val="24"/>
    </w:rPr>
  </w:style>
  <w:style w:type="paragraph" w:styleId="11">
    <w:name w:val="annotation subject"/>
    <w:basedOn w:val="5"/>
    <w:next w:val="5"/>
    <w:link w:val="22"/>
    <w:semiHidden/>
    <w:qFormat/>
    <w:uiPriority w:val="99"/>
    <w:rPr>
      <w:b/>
      <w:bCs/>
    </w:rPr>
  </w:style>
  <w:style w:type="character" w:styleId="14">
    <w:name w:val="Hyperlink"/>
    <w:qFormat/>
    <w:uiPriority w:val="99"/>
    <w:rPr>
      <w:color w:val="0000FF"/>
      <w:u w:val="single"/>
    </w:rPr>
  </w:style>
  <w:style w:type="character" w:styleId="15">
    <w:name w:val="annotation reference"/>
    <w:semiHidden/>
    <w:qFormat/>
    <w:uiPriority w:val="99"/>
    <w:rPr>
      <w:sz w:val="21"/>
      <w:szCs w:val="21"/>
    </w:rPr>
  </w:style>
  <w:style w:type="character" w:customStyle="1" w:styleId="16">
    <w:name w:val="标题 3 Char"/>
    <w:link w:val="3"/>
    <w:qFormat/>
    <w:locked/>
    <w:uiPriority w:val="99"/>
    <w:rPr>
      <w:rFonts w:ascii="Times New Roman" w:hAnsi="Times New Roman" w:cs="Times New Roman"/>
      <w:b/>
      <w:bCs/>
      <w:sz w:val="21"/>
      <w:szCs w:val="21"/>
    </w:rPr>
  </w:style>
  <w:style w:type="character" w:customStyle="1" w:styleId="17">
    <w:name w:val="页眉 Char"/>
    <w:link w:val="9"/>
    <w:qFormat/>
    <w:locked/>
    <w:uiPriority w:val="99"/>
    <w:rPr>
      <w:rFonts w:ascii="Times New Roman" w:hAnsi="Times New Roman" w:eastAsia="宋体" w:cs="Times New Roman"/>
      <w:sz w:val="18"/>
      <w:szCs w:val="18"/>
    </w:rPr>
  </w:style>
  <w:style w:type="character" w:customStyle="1" w:styleId="18">
    <w:name w:val="页脚 Char"/>
    <w:link w:val="8"/>
    <w:qFormat/>
    <w:locked/>
    <w:uiPriority w:val="99"/>
    <w:rPr>
      <w:rFonts w:ascii="Times New Roman" w:hAnsi="Times New Roman" w:eastAsia="宋体" w:cs="Times New Roman"/>
      <w:sz w:val="18"/>
      <w:szCs w:val="18"/>
    </w:rPr>
  </w:style>
  <w:style w:type="character" w:customStyle="1" w:styleId="19">
    <w:name w:val="font51"/>
    <w:qFormat/>
    <w:uiPriority w:val="99"/>
    <w:rPr>
      <w:rFonts w:ascii="楷体_GB2312" w:eastAsia="楷体_GB2312" w:cs="楷体_GB2312"/>
      <w:color w:val="FF0000"/>
      <w:sz w:val="20"/>
      <w:szCs w:val="20"/>
      <w:u w:val="none"/>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1">
    <w:name w:val="批注文字 Char"/>
    <w:link w:val="5"/>
    <w:semiHidden/>
    <w:qFormat/>
    <w:locked/>
    <w:uiPriority w:val="99"/>
    <w:rPr>
      <w:rFonts w:ascii="Times New Roman" w:hAnsi="Times New Roman" w:cs="Times New Roman"/>
      <w:kern w:val="2"/>
      <w:sz w:val="21"/>
      <w:szCs w:val="21"/>
    </w:rPr>
  </w:style>
  <w:style w:type="character" w:customStyle="1" w:styleId="22">
    <w:name w:val="批注主题 Char"/>
    <w:link w:val="11"/>
    <w:semiHidden/>
    <w:qFormat/>
    <w:locked/>
    <w:uiPriority w:val="99"/>
    <w:rPr>
      <w:rFonts w:ascii="Times New Roman" w:hAnsi="Times New Roman" w:cs="Times New Roman"/>
      <w:b/>
      <w:bCs/>
      <w:kern w:val="2"/>
      <w:sz w:val="21"/>
      <w:szCs w:val="21"/>
    </w:rPr>
  </w:style>
  <w:style w:type="character" w:customStyle="1" w:styleId="23">
    <w:name w:val="批注框文本 Char"/>
    <w:link w:val="7"/>
    <w:semiHidden/>
    <w:qFormat/>
    <w:locked/>
    <w:uiPriority w:val="99"/>
    <w:rPr>
      <w:rFonts w:ascii="Times New Roman" w:hAnsi="Times New Roman" w:cs="Times New Roman"/>
      <w:kern w:val="2"/>
      <w:sz w:val="18"/>
      <w:szCs w:val="18"/>
    </w:rPr>
  </w:style>
  <w:style w:type="character" w:customStyle="1" w:styleId="24">
    <w:name w:val="标题 4 Char"/>
    <w:link w:val="4"/>
    <w:semiHidden/>
    <w:qFormat/>
    <w:uiPriority w:val="0"/>
    <w:rPr>
      <w:rFonts w:ascii="Cambria" w:hAnsi="Cambria" w:eastAsia="宋体" w:cs="Times New Roman"/>
      <w:b/>
      <w:bCs/>
      <w:kern w:val="2"/>
      <w:sz w:val="28"/>
      <w:szCs w:val="28"/>
    </w:rPr>
  </w:style>
  <w:style w:type="character" w:customStyle="1" w:styleId="25">
    <w:name w:val="正文文本 Char"/>
    <w:link w:val="6"/>
    <w:qFormat/>
    <w:uiPriority w:val="1"/>
    <w:rPr>
      <w:rFonts w:ascii="宋体" w:hAnsi="宋体" w:cs="宋体"/>
      <w:sz w:val="30"/>
      <w:szCs w:val="3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customXml" Target="ink/ink2.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11-10T11:30:55"/>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720 40608,'0'0</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11-10T11:30:55"/>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720 40608,'0'0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3168</Words>
  <Characters>266</Characters>
  <Lines>2</Lines>
  <Paragraphs>6</Paragraphs>
  <TotalTime>0</TotalTime>
  <ScaleCrop>false</ScaleCrop>
  <LinksUpToDate>false</LinksUpToDate>
  <CharactersWithSpaces>3428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2018-09-12T09:55:00Z</dcterms:created>
  <dc:creator>dx</dc:creator>
  <cp:lastModifiedBy>骑士归来</cp:lastModifiedBy>
  <cp:lastPrinted>2023-11-01T01:20:00Z</cp:lastPrinted>
  <dcterms:modified xsi:type="dcterms:W3CDTF">2023-11-29T10:17:02Z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0D2B10D5AD2340C3939D0628C08A63B9_13</vt:lpwstr>
  </property>
</Properties>
</file>