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36"/>
          <w:szCs w:val="36"/>
        </w:rPr>
      </w:pPr>
      <w:r>
        <w:rPr>
          <w:rFonts w:hint="eastAsia" w:ascii="方正小标宋简体" w:eastAsia="方正小标宋简体"/>
          <w:bCs/>
          <w:sz w:val="36"/>
          <w:szCs w:val="36"/>
        </w:rPr>
        <w:t>第十六届山东省职业院校技能大赛</w:t>
      </w:r>
    </w:p>
    <w:p>
      <w:pPr>
        <w:jc w:val="center"/>
        <w:rPr>
          <w:rFonts w:ascii="方正小标宋简体" w:eastAsia="方正小标宋简体"/>
          <w:bCs/>
          <w:sz w:val="36"/>
          <w:szCs w:val="36"/>
        </w:rPr>
      </w:pPr>
      <w:r>
        <w:rPr>
          <w:rFonts w:hint="eastAsia" w:ascii="方正小标宋简体" w:eastAsia="方正小标宋简体"/>
          <w:bCs/>
          <w:sz w:val="36"/>
          <w:szCs w:val="36"/>
        </w:rPr>
        <w:t>中职组“互联网+wifi移动互联”赛项规程</w:t>
      </w:r>
    </w:p>
    <w:p>
      <w:pPr>
        <w:ind w:firstLine="480" w:firstLineChars="200"/>
        <w:rPr>
          <w:rFonts w:ascii="仿宋_GB2312"/>
        </w:rPr>
      </w:pPr>
    </w:p>
    <w:p>
      <w:pPr>
        <w:pStyle w:val="4"/>
        <w:ind w:firstLine="480"/>
        <w:rPr>
          <w:bCs w:val="0"/>
        </w:rPr>
      </w:pPr>
      <w:r>
        <w:rPr>
          <w:rFonts w:hint="eastAsia"/>
          <w:bCs w:val="0"/>
        </w:rPr>
        <w:t>一、赛项名称</w:t>
      </w:r>
    </w:p>
    <w:p>
      <w:pPr>
        <w:ind w:firstLine="480" w:firstLineChars="200"/>
        <w:rPr>
          <w:rFonts w:ascii="仿宋_GB2312"/>
        </w:rPr>
      </w:pPr>
      <w:r>
        <w:rPr>
          <w:rFonts w:hint="eastAsia" w:ascii="仿宋_GB2312"/>
        </w:rPr>
        <w:t>赛项名称：互联网+wifi移动互联</w:t>
      </w:r>
    </w:p>
    <w:p>
      <w:pPr>
        <w:ind w:firstLine="480" w:firstLineChars="200"/>
        <w:rPr>
          <w:rFonts w:ascii="仿宋_GB2312"/>
        </w:rPr>
      </w:pPr>
      <w:r>
        <w:rPr>
          <w:rFonts w:hint="eastAsia" w:ascii="仿宋_GB2312"/>
        </w:rPr>
        <w:t>赛项组别：中职组</w:t>
      </w:r>
    </w:p>
    <w:p>
      <w:pPr>
        <w:ind w:firstLine="480" w:firstLineChars="200"/>
        <w:rPr>
          <w:rFonts w:ascii="仿宋_GB2312"/>
        </w:rPr>
      </w:pPr>
      <w:r>
        <w:rPr>
          <w:rFonts w:hint="eastAsia" w:ascii="仿宋_GB2312"/>
        </w:rPr>
        <w:t>赛项专业大类：电子与信息</w:t>
      </w:r>
    </w:p>
    <w:p>
      <w:pPr>
        <w:pStyle w:val="4"/>
        <w:ind w:firstLine="480"/>
        <w:rPr>
          <w:bCs w:val="0"/>
        </w:rPr>
      </w:pPr>
      <w:r>
        <w:rPr>
          <w:rFonts w:hint="eastAsia"/>
          <w:bCs w:val="0"/>
        </w:rPr>
        <w:t>二、竞赛目的</w:t>
      </w:r>
    </w:p>
    <w:p>
      <w:pPr>
        <w:ind w:firstLine="480" w:firstLineChars="200"/>
        <w:rPr>
          <w:rFonts w:ascii="仿宋_GB2312"/>
        </w:rPr>
      </w:pPr>
      <w:r>
        <w:rPr>
          <w:rFonts w:hint="eastAsia" w:ascii="仿宋_GB2312"/>
        </w:rPr>
        <w:t>本赛项旨在考察参赛选手在企业真实项目环境下计算机网络的拓扑规划、IP地址规划、无线网络的规划与设计、设备配置与连接、无线网络优化与维护、应用的接入与测试、中英文技术文档阅读和应用、工程现场问题的分析处理等互联网及WIFI领域的核心技能，以及组织管理与团队协调能力、质量管理和成本控制意识等职场素质。引导中职院校关注绿色、安全、智能的计算机网络技术发展趋势和产业应用方向，引导院校、教师、企业产教融合、校企合作，引领中职信息技术类专业建设紧密对接新一代信息技术产业链、创新链的专业体系，提升专业学生能力素质与企业用人标准的吻合度，以适应新一轮科技革命和产业变革及新经济发展，展示职业教育改革成果及广大院校师生良好的精神风貌，扩大职业教育社会影响力，促进在全社会通过职业教育弘扬工匠精神，为在新形势下全面提高信息技术类专业教学质量、扩大就业创业、推进经济转型升级、培育经济发展新动能作出新贡献。</w:t>
      </w:r>
    </w:p>
    <w:p>
      <w:pPr>
        <w:pStyle w:val="4"/>
        <w:ind w:firstLine="480"/>
        <w:rPr>
          <w:bCs w:val="0"/>
        </w:rPr>
      </w:pPr>
      <w:r>
        <w:rPr>
          <w:rFonts w:hint="eastAsia"/>
          <w:bCs w:val="0"/>
        </w:rPr>
        <w:t>三、竞赛内容</w:t>
      </w:r>
    </w:p>
    <w:p>
      <w:pPr>
        <w:ind w:firstLine="480" w:firstLineChars="200"/>
        <w:rPr>
          <w:rFonts w:ascii="仿宋_GB2312"/>
        </w:rPr>
      </w:pPr>
      <w:bookmarkStart w:id="0" w:name="_Hlk491704428"/>
      <w:r>
        <w:rPr>
          <w:rFonts w:hint="eastAsia" w:ascii="仿宋_GB2312"/>
        </w:rPr>
        <w:t>互联网+WiFi移动互联赛项应用企业真实项目，结合企业岗位技能需求及教学需求，要求参赛选手根据给定的项目需求，完成一定规模计算机网络的拓扑规划、综合布线系统构建、无线网络的勘测与设计、传统数通、无线网络调试与优化、应用的接入与测试，保障网络应用的安全性和可靠性，旨在为中职院校计算机类专业搭建校企合作的平台，引导中职院校计算机类专业“以赛促学、以赛促教、以赛促改”，提升中职计算机类专业学生能力素质与企业用人标准的吻合度。</w:t>
      </w:r>
    </w:p>
    <w:p>
      <w:pPr>
        <w:ind w:firstLine="480" w:firstLineChars="200"/>
        <w:rPr>
          <w:rFonts w:ascii="仿宋_GB2312"/>
        </w:rPr>
      </w:pPr>
      <w:r>
        <w:rPr>
          <w:rFonts w:hint="eastAsia" w:ascii="仿宋_GB2312"/>
        </w:rPr>
        <w:t>主要涉及的知识和技能点如下：</w:t>
      </w:r>
    </w:p>
    <w:bookmarkEnd w:id="0"/>
    <w:p>
      <w:pPr>
        <w:ind w:firstLine="480" w:firstLineChars="200"/>
        <w:rPr>
          <w:rFonts w:ascii="仿宋_GB2312"/>
        </w:rPr>
      </w:pPr>
      <w:r>
        <w:rPr>
          <w:rFonts w:hint="eastAsia" w:ascii="仿宋_GB2312"/>
        </w:rPr>
        <w:t>模块一：无线网络勘测与规划（25%）</w:t>
      </w:r>
    </w:p>
    <w:p>
      <w:pPr>
        <w:ind w:firstLine="480" w:firstLineChars="200"/>
        <w:rPr>
          <w:rFonts w:ascii="仿宋_GB2312"/>
        </w:rPr>
      </w:pPr>
      <w:r>
        <w:rPr>
          <w:rFonts w:hint="eastAsia" w:ascii="仿宋_GB2312"/>
        </w:rPr>
        <w:t>根据提供的真实建筑环境或是布局图绘制建筑平面图，完成无线环境勘测绘制AP点位示意图，输出AP热图、设备清单及报价表。根据地勘确定的AP点位和IDC机房位置信息，输出网络综合布线工程的水平布线图、机房机柜安装示意图、网络配线架的标签、系统集成物料清单等。</w:t>
      </w:r>
    </w:p>
    <w:p>
      <w:pPr>
        <w:ind w:firstLine="480" w:firstLineChars="200"/>
        <w:rPr>
          <w:rFonts w:ascii="仿宋_GB2312"/>
        </w:rPr>
      </w:pPr>
      <w:r>
        <w:rPr>
          <w:rFonts w:hint="eastAsia" w:ascii="仿宋_GB2312"/>
        </w:rPr>
        <w:t>模块二：网络搭建与网络冗余备份方案部署（20%）</w:t>
      </w:r>
    </w:p>
    <w:p>
      <w:pPr>
        <w:ind w:firstLine="480" w:firstLineChars="200"/>
        <w:rPr>
          <w:rFonts w:ascii="仿宋_GB2312"/>
        </w:rPr>
      </w:pPr>
      <w:r>
        <w:rPr>
          <w:rFonts w:hint="eastAsia" w:ascii="仿宋_GB2312"/>
        </w:rPr>
        <w:t>按照拓扑图结构，完成局域网内部网络的设计与搭建及服务器区网络设备的虚拟化部署，并进行路由及冗余配置的优化保证内网业务的不间断连通。</w:t>
      </w:r>
    </w:p>
    <w:p>
      <w:pPr>
        <w:ind w:firstLine="480" w:firstLineChars="200"/>
        <w:rPr>
          <w:rFonts w:ascii="仿宋_GB2312"/>
        </w:rPr>
      </w:pPr>
      <w:r>
        <w:rPr>
          <w:rFonts w:hint="eastAsia" w:ascii="仿宋_GB2312"/>
        </w:rPr>
        <w:t>模块三：移动互联网搭建与网络优化（30%）</w:t>
      </w:r>
    </w:p>
    <w:p>
      <w:pPr>
        <w:ind w:firstLine="480" w:firstLineChars="200"/>
        <w:rPr>
          <w:rFonts w:ascii="仿宋_GB2312"/>
        </w:rPr>
      </w:pPr>
      <w:r>
        <w:rPr>
          <w:rFonts w:hint="eastAsia" w:ascii="仿宋_GB2312"/>
        </w:rPr>
        <w:t>为了方便移动办公及物联网接入需求，在有线网络建设的基础上，根据拓扑结构完成无线网络搭建、无线数据安全加固、无线性能及可靠性优化、无线多认证方式，针对不同用户群体做无线的网优和特权服务。</w:t>
      </w:r>
    </w:p>
    <w:p>
      <w:pPr>
        <w:ind w:firstLine="480" w:firstLineChars="200"/>
        <w:rPr>
          <w:rFonts w:ascii="仿宋_GB2312"/>
        </w:rPr>
      </w:pPr>
      <w:r>
        <w:rPr>
          <w:rFonts w:hint="eastAsia" w:ascii="仿宋_GB2312"/>
        </w:rPr>
        <w:t>模块四：出口安全防护与远程接入（20%）</w:t>
      </w:r>
    </w:p>
    <w:p>
      <w:pPr>
        <w:ind w:firstLine="480" w:firstLineChars="200"/>
        <w:rPr>
          <w:rFonts w:ascii="仿宋_GB2312"/>
        </w:rPr>
      </w:pPr>
      <w:r>
        <w:rPr>
          <w:rFonts w:hint="eastAsia" w:ascii="仿宋_GB2312"/>
        </w:rPr>
        <w:t>数据传输安全，确保通过网络环境传输的信息是经安全策略加密处理的。其中涉及隧道技术、明文抓取以及加密策略实施；出口设备信息审计，确保内网用户的行为合规，并且事后可追溯。包含用户认证、行为控制、行为审计策略以及审计分析报告生成。</w:t>
      </w:r>
    </w:p>
    <w:p>
      <w:pPr>
        <w:ind w:firstLine="480" w:firstLineChars="200"/>
        <w:rPr>
          <w:rFonts w:ascii="仿宋_GB2312"/>
        </w:rPr>
      </w:pPr>
      <w:r>
        <w:rPr>
          <w:rFonts w:hint="eastAsia" w:ascii="仿宋_GB2312"/>
        </w:rPr>
        <w:t>模块五：赛场规范和文档规范（5%）</w:t>
      </w:r>
    </w:p>
    <w:p>
      <w:pPr>
        <w:ind w:firstLine="480" w:firstLineChars="200"/>
        <w:rPr>
          <w:rFonts w:ascii="仿宋_GB2312"/>
        </w:rPr>
      </w:pPr>
      <w:r>
        <w:rPr>
          <w:rFonts w:hint="eastAsia" w:ascii="仿宋_GB2312"/>
        </w:rPr>
        <w:t>考生应在安排竞赛约定时间到达考场并严格遵守考试流程。考生提交的所有文档必须按照赛题所规定的命名规则命名，不得以任何形式体现参赛院校、工位号等信息。按照题目要求，提交符合模板的WORD文件和对应的PDF文件。</w:t>
      </w:r>
    </w:p>
    <w:p>
      <w:pPr>
        <w:pStyle w:val="4"/>
        <w:ind w:firstLine="480"/>
      </w:pPr>
      <w:r>
        <w:rPr>
          <w:rFonts w:hint="eastAsia"/>
        </w:rPr>
        <w:t>四、竞赛方式</w:t>
      </w:r>
    </w:p>
    <w:p>
      <w:pPr>
        <w:ind w:firstLine="480" w:firstLineChars="200"/>
        <w:rPr>
          <w:rFonts w:ascii="仿宋_GB2312" w:hAnsi="仿宋" w:cs="宋体"/>
          <w:bCs/>
          <w:kern w:val="0"/>
        </w:rPr>
      </w:pPr>
      <w:r>
        <w:rPr>
          <w:rFonts w:hint="eastAsia" w:ascii="仿宋_GB2312" w:hAnsi="仿宋" w:cs="宋体"/>
          <w:bCs/>
          <w:kern w:val="0"/>
        </w:rPr>
        <w:t>竞赛以团体赛方式进行，每支参赛队由3名选手组成,须为同校在籍学生，其中队长1名，</w:t>
      </w:r>
      <w:r>
        <w:rPr>
          <w:rFonts w:hint="eastAsia" w:ascii="仿宋_GB2312" w:cs="仿宋_GB2312"/>
        </w:rPr>
        <w:t>不得跨校组队，指导教师须为本校专兼职教师，</w:t>
      </w:r>
      <w:r>
        <w:rPr>
          <w:rFonts w:hint="eastAsia" w:ascii="仿宋_GB2312" w:hAnsi="仿宋" w:cs="宋体"/>
          <w:bCs/>
          <w:kern w:val="0"/>
        </w:rPr>
        <w:t>每队限报2名指导教师。</w:t>
      </w:r>
    </w:p>
    <w:p>
      <w:pPr>
        <w:pStyle w:val="4"/>
        <w:ind w:firstLine="480"/>
      </w:pPr>
      <w:r>
        <w:rPr>
          <w:rFonts w:hint="eastAsia"/>
        </w:rPr>
        <w:t>五、竞赛流程</w:t>
      </w:r>
    </w:p>
    <w:p>
      <w:pPr>
        <w:pStyle w:val="5"/>
        <w:ind w:firstLine="480"/>
      </w:pPr>
      <w:r>
        <w:rPr>
          <w:rFonts w:hint="eastAsia"/>
        </w:rPr>
        <w:t>（一）比赛场次</w:t>
      </w:r>
    </w:p>
    <w:p>
      <w:pPr>
        <w:ind w:firstLine="480" w:firstLineChars="200"/>
        <w:rPr>
          <w:rFonts w:ascii="Arial Narrow" w:hAnsi="Arial Narrow"/>
          <w:b/>
          <w:bCs/>
        </w:rPr>
      </w:pPr>
      <w:r>
        <w:rPr>
          <w:rFonts w:hint="eastAsia" w:ascii="仿宋_GB2312" w:hAnsi="仿宋" w:cs="Arial"/>
          <w:kern w:val="0"/>
        </w:rPr>
        <w:t>本赛项</w:t>
      </w:r>
      <w:r>
        <w:rPr>
          <w:rFonts w:hint="eastAsia" w:ascii="仿宋_GB2312" w:hAnsi="仿宋GB2312" w:cs="仿宋GB2312"/>
        </w:rPr>
        <w:t>安排在一天内进行比赛，</w:t>
      </w:r>
      <w:r>
        <w:rPr>
          <w:rFonts w:hint="eastAsia" w:ascii="仿宋_GB2312" w:cs="仿宋_GB2312"/>
        </w:rPr>
        <w:t>竞赛场次为2场</w:t>
      </w:r>
      <w:r>
        <w:rPr>
          <w:rFonts w:hint="eastAsia" w:ascii="仿宋_GB2312" w:hAnsi="仿宋GB2312" w:cs="仿宋GB2312"/>
        </w:rPr>
        <w:t>，每场3小时</w:t>
      </w:r>
      <w:r>
        <w:rPr>
          <w:rFonts w:hint="eastAsia" w:ascii="仿宋_GB2312" w:hAnsi="仿宋" w:cs="Arial"/>
          <w:kern w:val="0"/>
        </w:rPr>
        <w:t>。</w:t>
      </w:r>
    </w:p>
    <w:p>
      <w:pPr>
        <w:pStyle w:val="5"/>
        <w:ind w:firstLine="480"/>
      </w:pPr>
      <w:r>
        <w:rPr>
          <w:rFonts w:hint="eastAsia"/>
        </w:rPr>
        <w:t>（二）日程安排</w:t>
      </w:r>
    </w:p>
    <w:p>
      <w:pPr>
        <w:ind w:firstLine="480" w:firstLineChars="200"/>
        <w:rPr>
          <w:rFonts w:ascii="仿宋_GB2312"/>
        </w:rPr>
      </w:pPr>
      <w:r>
        <w:rPr>
          <w:rFonts w:hint="eastAsia" w:ascii="仿宋_GB2312"/>
        </w:rPr>
        <w:t>竞赛时间3小时，</w:t>
      </w:r>
      <w:r>
        <w:rPr>
          <w:rFonts w:hint="eastAsia" w:ascii="仿宋_GB2312" w:hAnsi="仿宋" w:cs="Arial"/>
          <w:kern w:val="0"/>
        </w:rPr>
        <w:t>赛程具体安排分配如下：</w:t>
      </w:r>
    </w:p>
    <w:p>
      <w:pPr>
        <w:snapToGrid w:val="0"/>
        <w:ind w:firstLine="961"/>
        <w:jc w:val="center"/>
        <w:rPr>
          <w:rFonts w:ascii="仿宋_GB2312" w:hAnsi="宋体" w:cs="Arial"/>
          <w:b/>
          <w:kern w:val="0"/>
          <w:szCs w:val="21"/>
        </w:rPr>
      </w:pPr>
      <w:r>
        <w:rPr>
          <w:rFonts w:hint="eastAsia" w:ascii="仿宋_GB2312" w:hAnsi="宋体" w:cs="Arial"/>
          <w:b/>
          <w:kern w:val="0"/>
          <w:szCs w:val="21"/>
        </w:rPr>
        <w:t>表</w:t>
      </w:r>
      <w:r>
        <w:rPr>
          <w:rFonts w:ascii="仿宋_GB2312" w:hAnsi="宋体" w:cs="Arial"/>
          <w:b/>
          <w:kern w:val="0"/>
          <w:szCs w:val="21"/>
        </w:rPr>
        <w:t>1</w:t>
      </w:r>
      <w:r>
        <w:rPr>
          <w:rFonts w:hint="eastAsia" w:ascii="仿宋_GB2312" w:hAnsi="宋体" w:cs="Arial"/>
          <w:b/>
          <w:kern w:val="0"/>
          <w:szCs w:val="21"/>
        </w:rPr>
        <w:t>竞赛时间安排表</w:t>
      </w:r>
    </w:p>
    <w:tbl>
      <w:tblPr>
        <w:tblStyle w:val="37"/>
        <w:tblW w:w="4926" w:type="pct"/>
        <w:tblInd w:w="135" w:type="dxa"/>
        <w:tblLayout w:type="fixed"/>
        <w:tblCellMar>
          <w:top w:w="0" w:type="dxa"/>
          <w:left w:w="108" w:type="dxa"/>
          <w:bottom w:w="0" w:type="dxa"/>
          <w:right w:w="108" w:type="dxa"/>
        </w:tblCellMar>
      </w:tblPr>
      <w:tblGrid>
        <w:gridCol w:w="885"/>
        <w:gridCol w:w="1651"/>
        <w:gridCol w:w="3158"/>
        <w:gridCol w:w="2055"/>
        <w:gridCol w:w="1400"/>
      </w:tblGrid>
      <w:tr>
        <w:tblPrEx>
          <w:tblCellMar>
            <w:top w:w="0" w:type="dxa"/>
            <w:left w:w="108" w:type="dxa"/>
            <w:bottom w:w="0" w:type="dxa"/>
            <w:right w:w="108" w:type="dxa"/>
          </w:tblCellMar>
        </w:tblPrEx>
        <w:trPr>
          <w:trHeight w:val="454" w:hRule="atLeast"/>
        </w:trPr>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rPr>
                <w:b/>
                <w:bCs/>
              </w:rPr>
            </w:pPr>
            <w:r>
              <w:rPr>
                <w:b/>
                <w:bCs/>
              </w:rPr>
              <w:t>日  期</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rPr>
                <w:b/>
                <w:bCs/>
              </w:rPr>
            </w:pPr>
            <w:r>
              <w:rPr>
                <w:b/>
                <w:bCs/>
              </w:rPr>
              <w:t>时  间</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rPr>
                <w:b/>
                <w:bCs/>
              </w:rPr>
            </w:pPr>
            <w:r>
              <w:rPr>
                <w:rFonts w:hint="eastAsia"/>
                <w:b/>
                <w:bCs/>
              </w:rPr>
              <w:t>事 项</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rPr>
                <w:b/>
                <w:bCs/>
              </w:rPr>
            </w:pPr>
            <w:r>
              <w:rPr>
                <w:rFonts w:hint="eastAsia"/>
                <w:b/>
                <w:bCs/>
              </w:rPr>
              <w:t>参加人员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rPr>
                <w:b/>
                <w:bCs/>
              </w:rPr>
            </w:pPr>
            <w:r>
              <w:rPr>
                <w:rFonts w:hint="eastAsia"/>
                <w:b/>
                <w:bCs/>
              </w:rPr>
              <w:t>地 点</w:t>
            </w:r>
          </w:p>
        </w:tc>
      </w:tr>
      <w:tr>
        <w:tblPrEx>
          <w:tblCellMar>
            <w:top w:w="0" w:type="dxa"/>
            <w:left w:w="108" w:type="dxa"/>
            <w:bottom w:w="0" w:type="dxa"/>
            <w:right w:w="108" w:type="dxa"/>
          </w:tblCellMar>
        </w:tblPrEx>
        <w:trPr>
          <w:trHeight w:val="288" w:hRule="atLeast"/>
        </w:trPr>
        <w:tc>
          <w:tcPr>
            <w:tcW w:w="483" w:type="pct"/>
            <w:vMerge w:val="restart"/>
            <w:tcBorders>
              <w:top w:val="single" w:color="000000" w:sz="4" w:space="0"/>
              <w:left w:val="single" w:color="000000" w:sz="4" w:space="0"/>
              <w:right w:val="single" w:color="000000" w:sz="4" w:space="0"/>
            </w:tcBorders>
            <w:shd w:val="clear" w:color="auto" w:fill="FFFFFF"/>
            <w:vAlign w:val="center"/>
          </w:tcPr>
          <w:p>
            <w:pPr>
              <w:pStyle w:val="46"/>
            </w:pPr>
            <w:r>
              <w:rPr>
                <w:rFonts w:hint="eastAsia"/>
              </w:rPr>
              <w:t>竞赛前1日</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9:00—14:00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参赛代表队报到，安排住宿，领取资料</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工作人员、各参赛队</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住宿酒店</w:t>
            </w:r>
          </w:p>
        </w:tc>
      </w:tr>
      <w:tr>
        <w:tblPrEx>
          <w:tblCellMar>
            <w:top w:w="0" w:type="dxa"/>
            <w:left w:w="108" w:type="dxa"/>
            <w:bottom w:w="0" w:type="dxa"/>
            <w:right w:w="108" w:type="dxa"/>
          </w:tblCellMar>
        </w:tblPrEx>
        <w:trPr>
          <w:trHeight w:val="288" w:hRule="atLeast"/>
        </w:trPr>
        <w:tc>
          <w:tcPr>
            <w:tcW w:w="483" w:type="pct"/>
            <w:vMerge w:val="continue"/>
            <w:tcBorders>
              <w:left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14:30—15:00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开赛式</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各参赛队、监督组、裁判长、专家组长</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报告厅</w:t>
            </w:r>
          </w:p>
        </w:tc>
      </w:tr>
      <w:tr>
        <w:tblPrEx>
          <w:tblCellMar>
            <w:top w:w="0" w:type="dxa"/>
            <w:left w:w="108" w:type="dxa"/>
            <w:bottom w:w="0" w:type="dxa"/>
            <w:right w:w="108" w:type="dxa"/>
          </w:tblCellMar>
        </w:tblPrEx>
        <w:trPr>
          <w:trHeight w:val="288" w:hRule="atLeast"/>
        </w:trPr>
        <w:tc>
          <w:tcPr>
            <w:tcW w:w="483" w:type="pct"/>
            <w:vMerge w:val="continue"/>
            <w:tcBorders>
              <w:left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15:30—16:00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熟悉比赛场地</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工作人员、各参赛队</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left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16:20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各参赛队返回酒店</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各参赛队</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竞赛场地前</w:t>
            </w:r>
          </w:p>
        </w:tc>
      </w:tr>
      <w:tr>
        <w:tblPrEx>
          <w:tblCellMar>
            <w:top w:w="0" w:type="dxa"/>
            <w:left w:w="108" w:type="dxa"/>
            <w:bottom w:w="0" w:type="dxa"/>
            <w:right w:w="108" w:type="dxa"/>
          </w:tblCellMar>
        </w:tblPrEx>
        <w:trPr>
          <w:trHeight w:val="288" w:hRule="atLeast"/>
        </w:trPr>
        <w:tc>
          <w:tcPr>
            <w:tcW w:w="483" w:type="pct"/>
            <w:vMerge w:val="continue"/>
            <w:tcBorders>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16:30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检查封闭赛场</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裁判长、监督组</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w:t>
            </w:r>
          </w:p>
          <w:p>
            <w:pPr>
              <w:pStyle w:val="46"/>
            </w:pPr>
            <w:r>
              <w:rPr>
                <w:rFonts w:hint="eastAsia"/>
              </w:rPr>
              <w:t>当天</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7:30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第一场参赛队到竞赛场地前集合</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各参赛队、工作人员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竞赛场地前</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7:30—7:35</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比赛检录：核对选手身份证、学生证、参赛证信息</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参赛选手，检录工作人员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竞赛场地前</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7:35—7:40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第一次抽签加密</w:t>
            </w:r>
          </w:p>
          <w:p>
            <w:pPr>
              <w:pStyle w:val="46"/>
            </w:pPr>
            <w:r>
              <w:rPr>
                <w:rFonts w:hint="eastAsia"/>
              </w:rPr>
              <w:t>（抽序号）</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参赛选手、第一次加密裁判、监督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一次抽签区</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7:40—7:45</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第二次抽签加密</w:t>
            </w:r>
          </w:p>
          <w:p>
            <w:pPr>
              <w:pStyle w:val="46"/>
            </w:pPr>
            <w:r>
              <w:rPr>
                <w:rFonts w:hint="eastAsia"/>
              </w:rPr>
              <w:t>（抽工位号）</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参赛选手、第二次加密裁判、监督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二次抽签区</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7:45—8:00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入场就位，学习竞赛须知，确定竞赛环境，领取竞赛任务</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8:00—11:00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正式比赛</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11:00-11:30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第一场收取各参赛队赛题及比赛结果文档</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12:00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第一场开始竞赛评分</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评分裁判、专家组长、监督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竞赛评分室</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12:00—13:00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赛场恢复</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技术工作人员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第二场参赛队到竞赛场地前集合</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各参赛队、工作人员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竞赛场地前</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13:00—13:05</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比赛检录：核对选手身份证、学生证、参赛证信息</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参赛选手，检录工作人员</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竞赛场地前</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13:05—13:10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第一次抽签加密</w:t>
            </w:r>
          </w:p>
          <w:p>
            <w:pPr>
              <w:pStyle w:val="46"/>
            </w:pPr>
            <w:r>
              <w:rPr>
                <w:rFonts w:hint="eastAsia"/>
              </w:rPr>
              <w:t>（抽序号）</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参赛选手、第一次加密裁判、监督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一次抽签区域</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13:10—13:15</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第二次抽签加密</w:t>
            </w:r>
          </w:p>
          <w:p>
            <w:pPr>
              <w:pStyle w:val="46"/>
            </w:pPr>
            <w:r>
              <w:rPr>
                <w:rFonts w:hint="eastAsia"/>
              </w:rPr>
              <w:t>（抽工位号）</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参赛选手、第二次加密裁判、监督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二次抽签区域</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13:15—13:30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入场就位，学习竞赛须知，确定竞赛环境，领取竞赛任务</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13:30—16:30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正式比赛</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16:30—17:00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第二场收取各参赛队赛题及比赛结果文档</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参赛选手、现场裁判、裁判长、监督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竞赛场地</w:t>
            </w:r>
          </w:p>
        </w:tc>
      </w:tr>
      <w:tr>
        <w:tblPrEx>
          <w:tblCellMar>
            <w:top w:w="0" w:type="dxa"/>
            <w:left w:w="108" w:type="dxa"/>
            <w:bottom w:w="0" w:type="dxa"/>
            <w:right w:w="108" w:type="dxa"/>
          </w:tblCellMar>
        </w:tblPrEx>
        <w:trPr>
          <w:trHeight w:val="288"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17:30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第二场开始竞赛评分</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评分裁判、专家组长、监督</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竞赛评分室</w:t>
            </w:r>
          </w:p>
        </w:tc>
      </w:tr>
      <w:tr>
        <w:tblPrEx>
          <w:tblCellMar>
            <w:top w:w="0" w:type="dxa"/>
            <w:left w:w="108" w:type="dxa"/>
            <w:bottom w:w="0" w:type="dxa"/>
            <w:right w:w="108" w:type="dxa"/>
          </w:tblCellMar>
        </w:tblPrEx>
        <w:trPr>
          <w:trHeight w:val="576"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20:30（根据实际评分情况调整）</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竞赛执委会对外公布成绩</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裁判组、专家组、监督组</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通过QQ群发布</w:t>
            </w:r>
          </w:p>
        </w:tc>
      </w:tr>
      <w:tr>
        <w:tblPrEx>
          <w:tblCellMar>
            <w:top w:w="0" w:type="dxa"/>
            <w:left w:w="108" w:type="dxa"/>
            <w:bottom w:w="0" w:type="dxa"/>
            <w:right w:w="108" w:type="dxa"/>
          </w:tblCellMar>
        </w:tblPrEx>
        <w:trPr>
          <w:trHeight w:val="576" w:hRule="atLeast"/>
        </w:trPr>
        <w:tc>
          <w:tcPr>
            <w:tcW w:w="4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竞赛后1日</w:t>
            </w:r>
          </w:p>
        </w:tc>
        <w:tc>
          <w:tcPr>
            <w:tcW w:w="9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9:00-10:00</w:t>
            </w:r>
          </w:p>
        </w:tc>
        <w:tc>
          <w:tcPr>
            <w:tcW w:w="17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成绩发布会</w:t>
            </w:r>
          </w:p>
        </w:tc>
        <w:tc>
          <w:tcPr>
            <w:tcW w:w="11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领导、嘉宾、裁判组、各参赛队、专家组、监督组</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46"/>
            </w:pPr>
            <w:r>
              <w:rPr>
                <w:rFonts w:hint="eastAsia"/>
              </w:rPr>
              <w:t>报告厅</w:t>
            </w:r>
          </w:p>
        </w:tc>
      </w:tr>
    </w:tbl>
    <w:p>
      <w:pPr>
        <w:pStyle w:val="5"/>
        <w:ind w:firstLine="480"/>
      </w:pPr>
      <w:r>
        <w:rPr>
          <w:rFonts w:hint="eastAsia"/>
        </w:rPr>
        <w:t>（三）竞赛流程</w:t>
      </w:r>
    </w:p>
    <w:p>
      <w:pPr>
        <w:snapToGrid w:val="0"/>
        <w:ind w:firstLine="960"/>
        <w:jc w:val="center"/>
        <w:rPr>
          <w:rFonts w:ascii="仿宋_GB2312" w:hAnsi="宋体" w:cs="Arial"/>
          <w:kern w:val="0"/>
          <w:sz w:val="32"/>
          <w:szCs w:val="32"/>
        </w:rPr>
      </w:pPr>
      <w:r>
        <w:drawing>
          <wp:inline distT="0" distB="0" distL="0" distR="0">
            <wp:extent cx="4140200" cy="4076065"/>
            <wp:effectExtent l="0" t="0" r="508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40200" cy="4076065"/>
                    </a:xfrm>
                    <a:prstGeom prst="rect">
                      <a:avLst/>
                    </a:prstGeom>
                  </pic:spPr>
                </pic:pic>
              </a:graphicData>
            </a:graphic>
          </wp:inline>
        </w:drawing>
      </w:r>
    </w:p>
    <w:p>
      <w:pPr>
        <w:snapToGrid w:val="0"/>
        <w:ind w:firstLine="961"/>
        <w:jc w:val="center"/>
        <w:rPr>
          <w:rFonts w:ascii="仿宋_GB2312" w:hAnsi="宋体" w:cs="Arial"/>
          <w:b/>
          <w:kern w:val="0"/>
          <w:szCs w:val="21"/>
        </w:rPr>
      </w:pPr>
      <w:r>
        <w:rPr>
          <w:rFonts w:hint="eastAsia" w:ascii="仿宋_GB2312" w:hAnsi="宋体" w:cs="Arial"/>
          <w:b/>
          <w:kern w:val="0"/>
          <w:szCs w:val="21"/>
        </w:rPr>
        <w:t>图1 竞赛流程图</w:t>
      </w:r>
    </w:p>
    <w:p>
      <w:pPr>
        <w:pStyle w:val="4"/>
        <w:ind w:firstLine="480"/>
      </w:pPr>
      <w:r>
        <w:rPr>
          <w:rFonts w:hint="eastAsia"/>
        </w:rPr>
        <w:t>六、竞赛命题</w:t>
      </w:r>
    </w:p>
    <w:p>
      <w:pPr>
        <w:ind w:firstLine="480" w:firstLineChars="200"/>
        <w:rPr>
          <w:rFonts w:ascii="仿宋_GB2312"/>
        </w:rPr>
      </w:pPr>
      <w:r>
        <w:rPr>
          <w:rFonts w:hint="eastAsia" w:ascii="仿宋_GB2312" w:hAnsi="仿宋" w:cs="宋体"/>
          <w:bCs/>
          <w:kern w:val="0"/>
        </w:rPr>
        <w:t>竞赛试题由专家组负责命题，</w:t>
      </w:r>
      <w:r>
        <w:rPr>
          <w:rFonts w:hint="eastAsia" w:ascii="仿宋_GB2312" w:hAnsi="仿宋" w:cs="Arial"/>
          <w:kern w:val="0"/>
        </w:rPr>
        <w:t>公开样卷，于赛前两周发布在“山东省职业院校技能大赛网：http://sdskills.sdei.edu.cn/”。</w:t>
      </w:r>
    </w:p>
    <w:p>
      <w:pPr>
        <w:pStyle w:val="4"/>
        <w:ind w:firstLine="480"/>
      </w:pPr>
      <w:r>
        <w:rPr>
          <w:rFonts w:hint="eastAsia"/>
        </w:rPr>
        <w:t>七、竞赛规则</w:t>
      </w:r>
    </w:p>
    <w:p>
      <w:pPr>
        <w:pStyle w:val="5"/>
        <w:ind w:firstLine="480"/>
      </w:pPr>
      <w:r>
        <w:rPr>
          <w:rFonts w:hint="eastAsia"/>
        </w:rPr>
        <w:t>（一）报名资格</w:t>
      </w:r>
    </w:p>
    <w:p>
      <w:pPr>
        <w:snapToGrid w:val="0"/>
        <w:ind w:firstLine="480" w:firstLineChars="200"/>
        <w:rPr>
          <w:rFonts w:ascii="仿宋_GB2312" w:hAnsi="仿宋" w:cs="Arial"/>
          <w:kern w:val="0"/>
        </w:rPr>
      </w:pPr>
      <w:r>
        <w:rPr>
          <w:rFonts w:hint="eastAsia" w:ascii="仿宋_GB2312" w:hAnsi="仿宋" w:cs="Arial"/>
          <w:kern w:val="0"/>
        </w:rPr>
        <w:t>1.按照《山东省教育厅等4部门关于举办第十六届山东省职业院校技能大赛的通知》（鲁教职函〔2023〕47号）要求，以市为单位报名参赛，每个市参赛队不超过2队。</w:t>
      </w:r>
    </w:p>
    <w:p>
      <w:pPr>
        <w:snapToGrid w:val="0"/>
        <w:ind w:firstLine="480" w:firstLineChars="200"/>
        <w:rPr>
          <w:rFonts w:ascii="仿宋_GB2312" w:hAnsi="仿宋" w:cs="Arial"/>
          <w:kern w:val="0"/>
        </w:rPr>
      </w:pPr>
      <w:r>
        <w:rPr>
          <w:rFonts w:hint="eastAsia" w:ascii="仿宋_GB2312" w:hAnsi="仿宋" w:cs="Arial"/>
          <w:kern w:val="0"/>
        </w:rPr>
        <w:t>2.参赛选手须满足以下条件：中</w:t>
      </w:r>
      <w:r>
        <w:rPr>
          <w:rFonts w:ascii="仿宋_GB2312" w:hAnsi="仿宋" w:cs="Arial"/>
          <w:kern w:val="0"/>
        </w:rPr>
        <w:t>等职业学校（包括技工学校）全日制在籍学生</w:t>
      </w:r>
      <w:r>
        <w:rPr>
          <w:rFonts w:hint="eastAsia" w:ascii="仿宋_GB2312" w:hAnsi="仿宋" w:cs="Arial"/>
          <w:kern w:val="0"/>
        </w:rPr>
        <w:t>,五年制高职的一至三年级（含三年级）在籍学生,参</w:t>
      </w:r>
      <w:r>
        <w:rPr>
          <w:rFonts w:ascii="仿宋_GB2312" w:hAnsi="仿宋" w:cs="Arial"/>
          <w:kern w:val="0"/>
        </w:rPr>
        <w:t>赛资格以报名时所具有的在校学籍为准。</w:t>
      </w:r>
    </w:p>
    <w:p>
      <w:pPr>
        <w:snapToGrid w:val="0"/>
        <w:ind w:firstLine="480" w:firstLineChars="200"/>
        <w:rPr>
          <w:rFonts w:ascii="仿宋_GB2312" w:hAnsi="仿宋" w:cs="Arial"/>
          <w:kern w:val="0"/>
        </w:rPr>
      </w:pPr>
      <w:r>
        <w:rPr>
          <w:rFonts w:hint="eastAsia" w:ascii="仿宋_GB2312" w:hAnsi="仿宋" w:cs="Arial"/>
          <w:kern w:val="0"/>
        </w:rPr>
        <w:t>3.</w:t>
      </w:r>
      <w:r>
        <w:rPr>
          <w:rFonts w:hint="eastAsia" w:ascii="仿宋_GB2312"/>
        </w:rPr>
        <w:t>本赛项为团体赛，不得跨校组队，同一学校报名参赛队不超过1支。</w:t>
      </w:r>
      <w:r>
        <w:rPr>
          <w:rFonts w:ascii="仿宋_GB2312" w:hAnsi="仿宋" w:cs="Arial"/>
          <w:kern w:val="0"/>
        </w:rPr>
        <w:t>凡在往届全国、全省职业院校技能大赛中获一等奖的选手，不得再参加同一项目相同组别的比赛。</w:t>
      </w:r>
    </w:p>
    <w:p>
      <w:pPr>
        <w:pStyle w:val="5"/>
        <w:ind w:firstLine="480"/>
      </w:pPr>
      <w:r>
        <w:rPr>
          <w:rFonts w:hint="eastAsia"/>
        </w:rPr>
        <w:t>（二）报名要求</w:t>
      </w:r>
    </w:p>
    <w:p>
      <w:pPr>
        <w:ind w:firstLine="480" w:firstLineChars="200"/>
        <w:rPr>
          <w:rFonts w:ascii="仿宋_GB2312"/>
        </w:rPr>
      </w:pPr>
      <w:r>
        <w:rPr>
          <w:rFonts w:hint="eastAsia" w:ascii="仿宋_GB2312"/>
        </w:rPr>
        <w:t>每支参赛队由3名选手组成，不得跨校组队，每参赛队限报2名指导教师，指导教师须为本校专兼职教师。</w:t>
      </w:r>
    </w:p>
    <w:p>
      <w:pPr>
        <w:pStyle w:val="5"/>
        <w:ind w:firstLine="480"/>
      </w:pPr>
      <w:r>
        <w:rPr>
          <w:rFonts w:hint="eastAsia"/>
        </w:rPr>
        <w:t>（三）参赛要求</w:t>
      </w:r>
    </w:p>
    <w:p>
      <w:pPr>
        <w:ind w:firstLine="480" w:firstLineChars="200"/>
        <w:rPr>
          <w:rFonts w:ascii="仿宋_GB2312" w:hAnsi="仿宋_GB2312" w:cs="仿宋_GB2312"/>
          <w:kern w:val="0"/>
        </w:rPr>
      </w:pPr>
      <w:r>
        <w:rPr>
          <w:rFonts w:hint="eastAsia" w:ascii="仿宋_GB2312"/>
        </w:rPr>
        <w:t>1．</w:t>
      </w:r>
      <w:r>
        <w:rPr>
          <w:rFonts w:hint="eastAsia" w:ascii="仿宋_GB2312" w:hAnsi="仿宋_GB2312" w:cs="仿宋_GB2312"/>
          <w:kern w:val="0"/>
        </w:rPr>
        <w:t>参赛选手应严格遵守赛场纪律，服从指挥，着装整洁，仪表端庄，自觉遵守赛场纪律，服从大赛执委会的指挥和安排，爱护大赛场地的设备和器材。</w:t>
      </w:r>
    </w:p>
    <w:p>
      <w:pPr>
        <w:ind w:firstLine="480" w:firstLineChars="200"/>
        <w:rPr>
          <w:rFonts w:ascii="仿宋_GB2312"/>
        </w:rPr>
      </w:pPr>
      <w:r>
        <w:rPr>
          <w:rFonts w:hint="eastAsia" w:ascii="仿宋_GB2312" w:hAnsi="仿宋_GB2312" w:cs="仿宋_GB2312"/>
          <w:kern w:val="0"/>
        </w:rPr>
        <w:t>2.</w:t>
      </w:r>
      <w:r>
        <w:rPr>
          <w:rFonts w:hint="eastAsia" w:ascii="仿宋_GB2312"/>
        </w:rPr>
        <w:t>竞赛所需的硬件、软件和辅助工具统一提供，参赛队不得使用自带的任何有存储功能的设备，如硬盘、光盘、U盘、手机、随身听等。</w:t>
      </w:r>
    </w:p>
    <w:p>
      <w:pPr>
        <w:ind w:firstLine="480" w:firstLineChars="200"/>
        <w:rPr>
          <w:rFonts w:ascii="仿宋_GB2312"/>
        </w:rPr>
      </w:pPr>
      <w:r>
        <w:rPr>
          <w:rFonts w:hint="eastAsia" w:ascii="仿宋_GB2312"/>
        </w:rPr>
        <w:t>3．比赛过程中，选手须严格遵守操作规程，确保人身及设备安全，并接受裁判员的监督和指示。若因选手原因造成设备故障或损坏而无法继续比赛的，裁判长有权决定终止该队比赛；若非因选手个人原因造成设备故障的，由裁判长视具体情况做出裁决。</w:t>
      </w:r>
    </w:p>
    <w:p>
      <w:pPr>
        <w:snapToGrid w:val="0"/>
        <w:ind w:firstLine="480" w:firstLineChars="200"/>
        <w:rPr>
          <w:rFonts w:ascii="仿宋_GB2312" w:hAnsi="仿宋_GB2312" w:cs="仿宋_GB2312"/>
          <w:kern w:val="0"/>
        </w:rPr>
      </w:pPr>
      <w:r>
        <w:rPr>
          <w:rFonts w:hint="eastAsia" w:ascii="仿宋_GB2312" w:hAnsi="仿宋_GB2312" w:cs="仿宋_GB2312"/>
          <w:kern w:val="0"/>
        </w:rPr>
        <w:t>4．参赛选手在比赛过程中不得擅自离开赛场，如有特殊情况，须经监场裁判同意后作特殊处理。</w:t>
      </w:r>
    </w:p>
    <w:p>
      <w:pPr>
        <w:snapToGrid w:val="0"/>
        <w:ind w:firstLine="480" w:firstLineChars="200"/>
        <w:rPr>
          <w:rFonts w:ascii="仿宋_GB2312" w:hAnsi="仿宋_GB2312" w:cs="仿宋_GB2312"/>
          <w:kern w:val="0"/>
        </w:rPr>
      </w:pPr>
      <w:r>
        <w:rPr>
          <w:rFonts w:hint="eastAsia" w:ascii="仿宋_GB2312" w:hAnsi="仿宋_GB2312" w:cs="仿宋_GB2312"/>
          <w:kern w:val="0"/>
        </w:rPr>
        <w:t>5．当听到比赛结束命令时，参赛选手应立即停止所有操作，不得以任何理由拖延比赛时间。比赛结束（或提前完成）后，参赛队要确认已成功提交竞赛要求的配置文件和文档，裁判员与参赛队队长一起签字确认，参赛队在确认后离场。</w:t>
      </w:r>
    </w:p>
    <w:p>
      <w:pPr>
        <w:ind w:firstLine="480" w:firstLineChars="200"/>
        <w:rPr>
          <w:rFonts w:ascii="仿宋_GB2312"/>
        </w:rPr>
      </w:pPr>
      <w:r>
        <w:rPr>
          <w:rFonts w:hint="eastAsia" w:ascii="仿宋_GB2312"/>
        </w:rPr>
        <w:t>6．参赛队须按照任务书要求及程序提交竞赛结果及相关文档，禁止在竞赛结果上做任何与竞赛无关的标记。</w:t>
      </w:r>
    </w:p>
    <w:p>
      <w:pPr>
        <w:pStyle w:val="4"/>
        <w:ind w:firstLine="480"/>
      </w:pPr>
      <w:r>
        <w:rPr>
          <w:rFonts w:hint="eastAsia"/>
        </w:rPr>
        <w:t>八、竞赛环境</w:t>
      </w:r>
    </w:p>
    <w:p>
      <w:pPr>
        <w:pStyle w:val="5"/>
        <w:ind w:firstLine="480"/>
      </w:pPr>
      <w:r>
        <w:rPr>
          <w:rFonts w:hint="eastAsia"/>
        </w:rPr>
        <w:t>（一）竞赛工位</w:t>
      </w:r>
    </w:p>
    <w:p>
      <w:pPr>
        <w:ind w:firstLine="480" w:firstLineChars="200"/>
        <w:rPr>
          <w:rFonts w:ascii="仿宋_GB2312"/>
        </w:rPr>
      </w:pPr>
      <w:r>
        <w:rPr>
          <w:rFonts w:hint="eastAsia" w:ascii="仿宋_GB2312"/>
        </w:rPr>
        <w:t>竞赛场地按照规范布置竞赛工位，竞赛工位之间保持一定距离，并标有醒目的工位编号，每个工位面积在10</w:t>
      </w:r>
      <w:r>
        <w:rPr>
          <w:rFonts w:hint="eastAsia" w:ascii="Segoe UI Symbol" w:hAnsi="Segoe UI Symbol" w:eastAsia="Segoe UI Symbol" w:cs="Segoe UI Symbol"/>
        </w:rPr>
        <w:t>㎡</w:t>
      </w:r>
      <w:r>
        <w:rPr>
          <w:rFonts w:hint="eastAsia" w:ascii="仿宋_GB2312"/>
        </w:rPr>
        <w:t>左右，确保参赛队之间互不干扰。环境标准要求保证赛场采光、照明和通风良好。提供稳定的水、电，并提供应急的备用电源；提供足够的干粉灭火器材。</w:t>
      </w:r>
    </w:p>
    <w:p>
      <w:pPr>
        <w:pStyle w:val="5"/>
        <w:ind w:firstLine="480"/>
      </w:pPr>
      <w:r>
        <w:rPr>
          <w:rFonts w:hint="eastAsia"/>
        </w:rPr>
        <w:t>（二）赛场环境</w:t>
      </w:r>
    </w:p>
    <w:p>
      <w:pPr>
        <w:ind w:firstLine="480" w:firstLineChars="200"/>
        <w:rPr>
          <w:rFonts w:ascii="仿宋_GB2312"/>
        </w:rPr>
      </w:pPr>
      <w:r>
        <w:rPr>
          <w:rFonts w:hint="eastAsia" w:ascii="仿宋_GB2312"/>
        </w:rPr>
        <w:t>赛场周围要设立警戒线，防止无关人员进入发生意外事件。比赛现场内应参照相关职业岗位的要求为选手提供必要的劳动保护，承办单位应提供保证应急预案实施的条件，必须明确制度和预案，并配备急救人员与设施。</w:t>
      </w:r>
    </w:p>
    <w:p>
      <w:pPr>
        <w:pStyle w:val="5"/>
        <w:ind w:firstLine="480"/>
      </w:pPr>
      <w:r>
        <w:rPr>
          <w:rFonts w:hint="eastAsia"/>
        </w:rPr>
        <w:t>（三）裁判区域</w:t>
      </w:r>
    </w:p>
    <w:p>
      <w:pPr>
        <w:ind w:firstLine="480" w:firstLineChars="200"/>
        <w:rPr>
          <w:rFonts w:ascii="仿宋_GB2312"/>
        </w:rPr>
      </w:pPr>
      <w:r>
        <w:rPr>
          <w:rFonts w:hint="eastAsia" w:ascii="仿宋_GB2312"/>
        </w:rPr>
        <w:t>设置评委/裁判会议室兼休息室1间，共配有电脑4台，A4激光打印机2台，桌椅10套，饮水机，纸杯，文具用品。</w:t>
      </w:r>
    </w:p>
    <w:p>
      <w:pPr>
        <w:pStyle w:val="5"/>
        <w:ind w:firstLine="480"/>
      </w:pPr>
      <w:r>
        <w:rPr>
          <w:rFonts w:hint="eastAsia"/>
        </w:rPr>
        <w:t>（四）设备耗材区</w:t>
      </w:r>
    </w:p>
    <w:p>
      <w:pPr>
        <w:ind w:firstLine="480" w:firstLineChars="200"/>
        <w:rPr>
          <w:rFonts w:ascii="仿宋_GB2312"/>
        </w:rPr>
      </w:pPr>
      <w:r>
        <w:rPr>
          <w:rFonts w:hint="eastAsia" w:ascii="仿宋_GB2312"/>
        </w:rPr>
        <w:t>设备、材料、工具、耗材等储藏室1间。设在竞赛区域内或相邻区域，方便及时替换或补充。</w:t>
      </w:r>
    </w:p>
    <w:p>
      <w:pPr>
        <w:pStyle w:val="5"/>
        <w:ind w:firstLine="480"/>
      </w:pPr>
      <w:r>
        <w:rPr>
          <w:rFonts w:hint="eastAsia"/>
        </w:rPr>
        <w:t>（五）其他区域</w:t>
      </w:r>
    </w:p>
    <w:p>
      <w:pPr>
        <w:ind w:firstLine="480" w:firstLineChars="200"/>
        <w:rPr>
          <w:rFonts w:ascii="仿宋_GB2312"/>
        </w:rPr>
      </w:pPr>
      <w:r>
        <w:rPr>
          <w:rFonts w:hint="eastAsia" w:ascii="仿宋_GB2312"/>
        </w:rPr>
        <w:t>学生备赛室1间、仲裁室1间、保密室1间、技术支持室1间。颁奖场地和参赛队休息场地另计。</w:t>
      </w:r>
    </w:p>
    <w:p>
      <w:pPr>
        <w:pStyle w:val="4"/>
        <w:ind w:firstLine="480"/>
      </w:pPr>
      <w:r>
        <w:rPr>
          <w:rFonts w:hint="eastAsia"/>
        </w:rPr>
        <w:t>九、技术规范</w:t>
      </w:r>
    </w:p>
    <w:p>
      <w:pPr>
        <w:ind w:firstLine="480" w:firstLineChars="200"/>
        <w:rPr>
          <w:rFonts w:ascii="仿宋_GB2312"/>
        </w:rPr>
      </w:pPr>
      <w:r>
        <w:rPr>
          <w:rFonts w:hint="eastAsia" w:ascii="仿宋_GB2312"/>
        </w:rPr>
        <w:t>参赛代表队在实施竞赛项目中要求遵循如下规范：</w:t>
      </w:r>
    </w:p>
    <w:p>
      <w:pPr>
        <w:ind w:leftChars="-2" w:hanging="5" w:hangingChars="2"/>
        <w:jc w:val="center"/>
        <w:rPr>
          <w:rFonts w:ascii="仿宋_GB2312" w:hAnsi="宋体" w:cs="Arial"/>
          <w:b/>
          <w:kern w:val="0"/>
          <w:szCs w:val="21"/>
        </w:rPr>
      </w:pPr>
      <w:r>
        <w:rPr>
          <w:rFonts w:hint="eastAsia" w:ascii="仿宋_GB2312" w:hAnsi="宋体" w:cs="Arial"/>
          <w:b/>
          <w:kern w:val="0"/>
          <w:szCs w:val="21"/>
        </w:rPr>
        <w:t>表2  技术规范统计表</w:t>
      </w:r>
    </w:p>
    <w:tbl>
      <w:tblPr>
        <w:tblStyle w:val="37"/>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255"/>
        <w:gridCol w:w="4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rPr>
                <w:b/>
                <w:bCs/>
              </w:rPr>
            </w:pPr>
            <w:r>
              <w:rPr>
                <w:rFonts w:hint="eastAsia"/>
                <w:b/>
                <w:bCs/>
              </w:rPr>
              <w:br w:type="page"/>
            </w:r>
            <w:r>
              <w:rPr>
                <w:rFonts w:hint="eastAsia"/>
                <w:b/>
                <w:bCs/>
              </w:rPr>
              <w:t>序号</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标准号</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rPr>
                <w:b/>
                <w:bCs/>
              </w:rPr>
            </w:pPr>
            <w:r>
              <w:rPr>
                <w:rFonts w:hint="eastAsia"/>
                <w:b/>
                <w:bCs/>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1</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GB50311-</w:t>
            </w:r>
            <w:r>
              <w:t>20</w:t>
            </w:r>
            <w:r>
              <w:rPr>
                <w:rFonts w:hint="eastAsia"/>
              </w:rPr>
              <w:t>16</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2</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GB50312-</w:t>
            </w:r>
            <w:r>
              <w:t>20</w:t>
            </w:r>
            <w:r>
              <w:rPr>
                <w:rFonts w:hint="eastAsia"/>
              </w:rPr>
              <w:t>16</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3</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GB50174-2008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4</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GB21671-2008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5</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GB/T22239-2008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rPr>
                <w:rFonts w:hint="eastAsia"/>
              </w:rPr>
              <w:t>信息系统安全等级保护基本要求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46"/>
            </w:pPr>
            <w:r>
              <w:rPr>
                <w:rFonts w:hint="eastAsia"/>
              </w:rPr>
              <w:t>6</w:t>
            </w:r>
          </w:p>
        </w:tc>
        <w:tc>
          <w:tcPr>
            <w:tcW w:w="2255" w:type="dxa"/>
            <w:tcBorders>
              <w:top w:val="single" w:color="auto" w:sz="4" w:space="0"/>
              <w:left w:val="single" w:color="auto" w:sz="4" w:space="0"/>
              <w:bottom w:val="single" w:color="auto" w:sz="4" w:space="0"/>
              <w:right w:val="single" w:color="auto" w:sz="4" w:space="0"/>
            </w:tcBorders>
            <w:vAlign w:val="center"/>
          </w:tcPr>
          <w:p>
            <w:pPr>
              <w:pStyle w:val="46"/>
            </w:pPr>
            <w:r>
              <w:t>IEEE</w:t>
            </w:r>
            <w:r>
              <w:rPr>
                <w:rFonts w:hint="eastAsia"/>
              </w:rPr>
              <w:t>802.11</w:t>
            </w:r>
          </w:p>
        </w:tc>
        <w:tc>
          <w:tcPr>
            <w:tcW w:w="4997" w:type="dxa"/>
            <w:tcBorders>
              <w:top w:val="single" w:color="auto" w:sz="4" w:space="0"/>
              <w:left w:val="single" w:color="auto" w:sz="4" w:space="0"/>
              <w:bottom w:val="single" w:color="auto" w:sz="4" w:space="0"/>
              <w:right w:val="single" w:color="auto" w:sz="4" w:space="0"/>
            </w:tcBorders>
            <w:vAlign w:val="center"/>
          </w:tcPr>
          <w:p>
            <w:pPr>
              <w:pStyle w:val="46"/>
            </w:pPr>
            <w:r>
              <w:t>IEEE制定的无线局域网标准</w:t>
            </w:r>
          </w:p>
        </w:tc>
      </w:tr>
    </w:tbl>
    <w:p>
      <w:pPr>
        <w:pStyle w:val="4"/>
        <w:ind w:firstLine="480"/>
      </w:pPr>
      <w:r>
        <w:rPr>
          <w:rFonts w:hint="eastAsia"/>
        </w:rPr>
        <w:t>十、技术平台</w:t>
      </w:r>
    </w:p>
    <w:p>
      <w:pPr>
        <w:pStyle w:val="5"/>
        <w:ind w:firstLine="480"/>
      </w:pPr>
      <w:r>
        <w:rPr>
          <w:rFonts w:hint="eastAsia"/>
        </w:rPr>
        <w:t>（一）竞赛软件平台——标准软件平台</w:t>
      </w:r>
    </w:p>
    <w:p>
      <w:pPr>
        <w:ind w:firstLine="480" w:firstLineChars="200"/>
        <w:rPr>
          <w:rFonts w:ascii="仿宋_GB2312"/>
        </w:rPr>
      </w:pPr>
      <w:r>
        <w:rPr>
          <w:rFonts w:hint="eastAsia" w:ascii="仿宋_GB2312"/>
        </w:rPr>
        <w:t>竞赛将提供已经安装好操作系统的个人计算机，并安装好常用的工具应用软件。详见竞赛软件列表。</w:t>
      </w:r>
    </w:p>
    <w:p>
      <w:pPr>
        <w:ind w:firstLine="482" w:firstLineChars="200"/>
        <w:jc w:val="center"/>
        <w:rPr>
          <w:rFonts w:ascii="仿宋_GB2312"/>
          <w:b/>
          <w:bCs/>
        </w:rPr>
      </w:pPr>
      <w:r>
        <w:rPr>
          <w:rFonts w:hint="eastAsia" w:ascii="仿宋_GB2312"/>
          <w:b/>
          <w:bCs/>
        </w:rPr>
        <w:t>表3  竞赛软件列表</w:t>
      </w:r>
    </w:p>
    <w:tbl>
      <w:tblPr>
        <w:tblStyle w:val="37"/>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15"/>
        <w:gridCol w:w="3969"/>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rPr>
                <w:b/>
                <w:bCs/>
              </w:rPr>
            </w:pPr>
            <w:r>
              <w:rPr>
                <w:rFonts w:hint="eastAsia"/>
                <w:b/>
                <w:bCs/>
              </w:rPr>
              <w:t>序号</w:t>
            </w:r>
          </w:p>
        </w:tc>
        <w:tc>
          <w:tcPr>
            <w:tcW w:w="2215" w:type="dxa"/>
            <w:vAlign w:val="center"/>
          </w:tcPr>
          <w:p>
            <w:pPr>
              <w:pStyle w:val="46"/>
              <w:rPr>
                <w:b/>
                <w:bCs/>
              </w:rPr>
            </w:pPr>
            <w:r>
              <w:rPr>
                <w:rFonts w:hint="eastAsia"/>
                <w:b/>
                <w:bCs/>
              </w:rPr>
              <w:t>软件类别</w:t>
            </w:r>
          </w:p>
        </w:tc>
        <w:tc>
          <w:tcPr>
            <w:tcW w:w="3969" w:type="dxa"/>
            <w:vAlign w:val="center"/>
          </w:tcPr>
          <w:p>
            <w:pPr>
              <w:pStyle w:val="46"/>
              <w:rPr>
                <w:b/>
                <w:bCs/>
              </w:rPr>
            </w:pPr>
            <w:r>
              <w:rPr>
                <w:rFonts w:hint="eastAsia"/>
                <w:b/>
                <w:bCs/>
              </w:rPr>
              <w:t>软件名称</w:t>
            </w:r>
          </w:p>
        </w:tc>
        <w:tc>
          <w:tcPr>
            <w:tcW w:w="1509" w:type="dxa"/>
            <w:vAlign w:val="center"/>
          </w:tcPr>
          <w:p>
            <w:pPr>
              <w:pStyle w:val="46"/>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1</w:t>
            </w:r>
          </w:p>
        </w:tc>
        <w:tc>
          <w:tcPr>
            <w:tcW w:w="2215" w:type="dxa"/>
            <w:vAlign w:val="center"/>
          </w:tcPr>
          <w:p>
            <w:pPr>
              <w:pStyle w:val="46"/>
            </w:pPr>
            <w:r>
              <w:rPr>
                <w:rFonts w:hint="eastAsia"/>
              </w:rPr>
              <w:t>客户端操作系统</w:t>
            </w:r>
          </w:p>
        </w:tc>
        <w:tc>
          <w:tcPr>
            <w:tcW w:w="3969" w:type="dxa"/>
            <w:vAlign w:val="center"/>
          </w:tcPr>
          <w:p>
            <w:pPr>
              <w:pStyle w:val="46"/>
            </w:pPr>
            <w:r>
              <w:rPr>
                <w:rFonts w:hint="eastAsia"/>
              </w:rPr>
              <w:t>Windows10 64bit（中文版）</w:t>
            </w:r>
          </w:p>
        </w:tc>
        <w:tc>
          <w:tcPr>
            <w:tcW w:w="1509" w:type="dxa"/>
            <w:vAlign w:val="center"/>
          </w:tcPr>
          <w:p>
            <w:pPr>
              <w:pStyle w:val="46"/>
            </w:pPr>
            <w:r>
              <w:rPr>
                <w:rFonts w:hint="eastAsia"/>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2</w:t>
            </w:r>
          </w:p>
        </w:tc>
        <w:tc>
          <w:tcPr>
            <w:tcW w:w="2215" w:type="dxa"/>
            <w:vAlign w:val="center"/>
          </w:tcPr>
          <w:p>
            <w:pPr>
              <w:pStyle w:val="46"/>
            </w:pPr>
            <w:r>
              <w:rPr>
                <w:rFonts w:hint="eastAsia"/>
              </w:rPr>
              <w:t>解压缩软件</w:t>
            </w:r>
          </w:p>
        </w:tc>
        <w:tc>
          <w:tcPr>
            <w:tcW w:w="3969" w:type="dxa"/>
            <w:vAlign w:val="center"/>
          </w:tcPr>
          <w:p>
            <w:pPr>
              <w:pStyle w:val="46"/>
            </w:pPr>
            <w:r>
              <w:rPr>
                <w:rFonts w:hint="eastAsia"/>
              </w:rPr>
              <w:t>RAR（中文版）</w:t>
            </w:r>
          </w:p>
        </w:tc>
        <w:tc>
          <w:tcPr>
            <w:tcW w:w="1509" w:type="dxa"/>
            <w:vAlign w:val="center"/>
          </w:tcPr>
          <w:p>
            <w:pPr>
              <w:pStyle w:val="46"/>
            </w:pPr>
            <w:r>
              <w:rPr>
                <w:rFonts w:hint="eastAsia"/>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3</w:t>
            </w:r>
          </w:p>
        </w:tc>
        <w:tc>
          <w:tcPr>
            <w:tcW w:w="2215" w:type="dxa"/>
            <w:vAlign w:val="center"/>
          </w:tcPr>
          <w:p>
            <w:pPr>
              <w:pStyle w:val="46"/>
            </w:pPr>
            <w:r>
              <w:rPr>
                <w:rFonts w:hint="eastAsia"/>
              </w:rPr>
              <w:t>文档处理软件</w:t>
            </w:r>
          </w:p>
        </w:tc>
        <w:tc>
          <w:tcPr>
            <w:tcW w:w="3969" w:type="dxa"/>
            <w:vAlign w:val="center"/>
          </w:tcPr>
          <w:p>
            <w:pPr>
              <w:pStyle w:val="46"/>
            </w:pPr>
            <w:r>
              <w:rPr>
                <w:rFonts w:hint="eastAsia"/>
              </w:rPr>
              <w:t>Microsoft Office（中文版）</w:t>
            </w:r>
          </w:p>
        </w:tc>
        <w:tc>
          <w:tcPr>
            <w:tcW w:w="1509" w:type="dxa"/>
            <w:vAlign w:val="center"/>
          </w:tcPr>
          <w:p>
            <w:pPr>
              <w:pStyle w:val="46"/>
            </w:pPr>
            <w:r>
              <w:rPr>
                <w:rFonts w:hint="eastAsia"/>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4</w:t>
            </w:r>
          </w:p>
        </w:tc>
        <w:tc>
          <w:tcPr>
            <w:tcW w:w="2215" w:type="dxa"/>
            <w:vAlign w:val="center"/>
          </w:tcPr>
          <w:p>
            <w:pPr>
              <w:pStyle w:val="46"/>
            </w:pPr>
            <w:r>
              <w:rPr>
                <w:rFonts w:hint="eastAsia"/>
              </w:rPr>
              <w:t>PDF阅读器</w:t>
            </w:r>
          </w:p>
        </w:tc>
        <w:tc>
          <w:tcPr>
            <w:tcW w:w="3969" w:type="dxa"/>
            <w:vAlign w:val="center"/>
          </w:tcPr>
          <w:p>
            <w:pPr>
              <w:pStyle w:val="46"/>
            </w:pPr>
            <w:r>
              <w:rPr>
                <w:rFonts w:hint="eastAsia"/>
              </w:rPr>
              <w:t>Adobe Reader X1</w:t>
            </w:r>
          </w:p>
        </w:tc>
        <w:tc>
          <w:tcPr>
            <w:tcW w:w="1509" w:type="dxa"/>
            <w:vAlign w:val="center"/>
          </w:tcPr>
          <w:p>
            <w:pPr>
              <w:pStyle w:val="46"/>
            </w:pPr>
            <w:r>
              <w:rPr>
                <w:rFonts w:hint="eastAsia"/>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5</w:t>
            </w:r>
          </w:p>
        </w:tc>
        <w:tc>
          <w:tcPr>
            <w:tcW w:w="2215" w:type="dxa"/>
            <w:vAlign w:val="center"/>
          </w:tcPr>
          <w:p>
            <w:pPr>
              <w:pStyle w:val="46"/>
            </w:pPr>
            <w:r>
              <w:rPr>
                <w:rFonts w:hint="eastAsia"/>
              </w:rPr>
              <w:t>调试工具</w:t>
            </w:r>
          </w:p>
        </w:tc>
        <w:tc>
          <w:tcPr>
            <w:tcW w:w="3969" w:type="dxa"/>
            <w:vAlign w:val="center"/>
          </w:tcPr>
          <w:p>
            <w:pPr>
              <w:pStyle w:val="46"/>
            </w:pPr>
            <w:r>
              <w:rPr>
                <w:rFonts w:hint="eastAsia"/>
              </w:rPr>
              <w:t>SercureCRT8</w:t>
            </w:r>
          </w:p>
        </w:tc>
        <w:tc>
          <w:tcPr>
            <w:tcW w:w="1509" w:type="dxa"/>
            <w:vAlign w:val="center"/>
          </w:tcPr>
          <w:p>
            <w:pPr>
              <w:pStyle w:val="46"/>
            </w:pPr>
            <w:r>
              <w:rPr>
                <w:rFonts w:hint="eastAsia"/>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6</w:t>
            </w:r>
          </w:p>
        </w:tc>
        <w:tc>
          <w:tcPr>
            <w:tcW w:w="2215" w:type="dxa"/>
            <w:vAlign w:val="center"/>
          </w:tcPr>
          <w:p>
            <w:pPr>
              <w:pStyle w:val="46"/>
            </w:pPr>
            <w:r>
              <w:rPr>
                <w:rFonts w:hint="eastAsia"/>
              </w:rPr>
              <w:t>截图工具</w:t>
            </w:r>
          </w:p>
        </w:tc>
        <w:tc>
          <w:tcPr>
            <w:tcW w:w="3969" w:type="dxa"/>
            <w:vAlign w:val="center"/>
          </w:tcPr>
          <w:p>
            <w:pPr>
              <w:pStyle w:val="46"/>
            </w:pPr>
            <w:r>
              <w:rPr>
                <w:rFonts w:hint="eastAsia"/>
              </w:rPr>
              <w:t>FScapture6</w:t>
            </w:r>
          </w:p>
        </w:tc>
        <w:tc>
          <w:tcPr>
            <w:tcW w:w="1509" w:type="dxa"/>
            <w:vAlign w:val="center"/>
          </w:tcPr>
          <w:p>
            <w:pPr>
              <w:pStyle w:val="46"/>
            </w:pPr>
            <w:r>
              <w:rPr>
                <w:rFonts w:hint="eastAsia"/>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6" w:type="dxa"/>
            <w:vAlign w:val="center"/>
          </w:tcPr>
          <w:p>
            <w:pPr>
              <w:pStyle w:val="46"/>
            </w:pPr>
            <w:r>
              <w:rPr>
                <w:rFonts w:hint="eastAsia"/>
              </w:rPr>
              <w:t>7</w:t>
            </w:r>
          </w:p>
        </w:tc>
        <w:tc>
          <w:tcPr>
            <w:tcW w:w="2215" w:type="dxa"/>
            <w:vAlign w:val="center"/>
          </w:tcPr>
          <w:p>
            <w:pPr>
              <w:pStyle w:val="46"/>
            </w:pPr>
            <w:r>
              <w:rPr>
                <w:rFonts w:hint="eastAsia"/>
              </w:rPr>
              <w:t>认证客户端</w:t>
            </w:r>
          </w:p>
        </w:tc>
        <w:tc>
          <w:tcPr>
            <w:tcW w:w="3969" w:type="dxa"/>
            <w:vAlign w:val="center"/>
          </w:tcPr>
          <w:p>
            <w:pPr>
              <w:pStyle w:val="46"/>
            </w:pPr>
            <w:r>
              <w:rPr>
                <w:rFonts w:hint="eastAsia"/>
              </w:rPr>
              <w:t>锐捷安全代理（SA）</w:t>
            </w:r>
          </w:p>
        </w:tc>
        <w:tc>
          <w:tcPr>
            <w:tcW w:w="1509" w:type="dxa"/>
            <w:vAlign w:val="center"/>
          </w:tcPr>
          <w:p>
            <w:pPr>
              <w:pStyle w:val="46"/>
            </w:pPr>
            <w:r>
              <w:rPr>
                <w:rFonts w:hint="eastAsia"/>
              </w:rPr>
              <w:t>试用版</w:t>
            </w:r>
          </w:p>
        </w:tc>
      </w:tr>
    </w:tbl>
    <w:p>
      <w:pPr>
        <w:pStyle w:val="5"/>
        <w:ind w:firstLine="480"/>
      </w:pPr>
      <w:r>
        <w:rPr>
          <w:rFonts w:hint="eastAsia"/>
        </w:rPr>
        <w:t>（二）竞赛项目使用的器材与技术平台</w:t>
      </w:r>
    </w:p>
    <w:p>
      <w:pPr>
        <w:ind w:firstLine="480" w:firstLineChars="200"/>
        <w:rPr>
          <w:rFonts w:ascii="仿宋_GB2312"/>
        </w:rPr>
      </w:pPr>
      <w:r>
        <w:rPr>
          <w:rFonts w:hint="eastAsia" w:ascii="仿宋_GB2312"/>
        </w:rPr>
        <w:t>竞赛设备包括个人计算机、竞赛硬件环境（包括云平台和本地竞赛环境），选手用个人计算机为承办院校提供，可根据设备要求选取技术平台。</w:t>
      </w:r>
    </w:p>
    <w:p>
      <w:pPr>
        <w:ind w:firstLine="961"/>
        <w:jc w:val="center"/>
        <w:rPr>
          <w:rFonts w:ascii="仿宋_GB2312" w:hAnsi="宋体" w:cs="Arial"/>
          <w:b/>
          <w:kern w:val="0"/>
          <w:szCs w:val="21"/>
        </w:rPr>
      </w:pPr>
      <w:r>
        <w:rPr>
          <w:rFonts w:hint="eastAsia" w:ascii="仿宋_GB2312" w:hAnsi="宋体" w:cs="Arial"/>
          <w:b/>
          <w:kern w:val="0"/>
          <w:szCs w:val="21"/>
        </w:rPr>
        <w:t>表4  竞赛器材与技术平台统计表</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23"/>
        <w:gridCol w:w="1762"/>
        <w:gridCol w:w="5373"/>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trPr>
        <w:tc>
          <w:tcPr>
            <w:tcW w:w="382" w:type="pct"/>
            <w:shd w:val="clear" w:color="000000" w:fill="FFFFFF"/>
            <w:vAlign w:val="center"/>
          </w:tcPr>
          <w:p>
            <w:pPr>
              <w:pStyle w:val="46"/>
              <w:rPr>
                <w:b/>
                <w:bCs/>
              </w:rPr>
            </w:pPr>
            <w:r>
              <w:rPr>
                <w:rFonts w:hint="eastAsia"/>
                <w:b/>
                <w:bCs/>
              </w:rPr>
              <w:t>序号</w:t>
            </w:r>
          </w:p>
        </w:tc>
        <w:tc>
          <w:tcPr>
            <w:tcW w:w="389" w:type="pct"/>
            <w:shd w:val="clear" w:color="000000" w:fill="FFFFFF"/>
            <w:vAlign w:val="center"/>
          </w:tcPr>
          <w:p>
            <w:pPr>
              <w:pStyle w:val="46"/>
              <w:rPr>
                <w:b/>
                <w:bCs/>
              </w:rPr>
            </w:pPr>
            <w:r>
              <w:rPr>
                <w:rFonts w:hint="eastAsia"/>
                <w:b/>
                <w:bCs/>
              </w:rPr>
              <w:t>厂商</w:t>
            </w:r>
          </w:p>
        </w:tc>
        <w:tc>
          <w:tcPr>
            <w:tcW w:w="948" w:type="pct"/>
            <w:shd w:val="clear" w:color="000000" w:fill="FFFFFF"/>
            <w:vAlign w:val="center"/>
          </w:tcPr>
          <w:p>
            <w:pPr>
              <w:pStyle w:val="46"/>
              <w:rPr>
                <w:b/>
                <w:bCs/>
              </w:rPr>
            </w:pPr>
            <w:r>
              <w:rPr>
                <w:rFonts w:hint="eastAsia"/>
                <w:b/>
                <w:bCs/>
              </w:rPr>
              <w:t>产品大类</w:t>
            </w:r>
          </w:p>
        </w:tc>
        <w:tc>
          <w:tcPr>
            <w:tcW w:w="2891" w:type="pct"/>
            <w:shd w:val="clear" w:color="000000" w:fill="FFFFFF"/>
            <w:vAlign w:val="center"/>
          </w:tcPr>
          <w:p>
            <w:pPr>
              <w:pStyle w:val="46"/>
              <w:rPr>
                <w:b/>
                <w:bCs/>
              </w:rPr>
            </w:pPr>
            <w:r>
              <w:rPr>
                <w:rFonts w:hint="eastAsia"/>
                <w:b/>
                <w:bCs/>
              </w:rPr>
              <w:t>产品型号</w:t>
            </w:r>
          </w:p>
        </w:tc>
        <w:tc>
          <w:tcPr>
            <w:tcW w:w="387" w:type="pct"/>
            <w:shd w:val="clear" w:color="000000" w:fill="FFFFFF"/>
            <w:vAlign w:val="center"/>
          </w:tcPr>
          <w:p>
            <w:pPr>
              <w:pStyle w:val="46"/>
              <w:rPr>
                <w:b/>
                <w:bCs/>
              </w:rPr>
            </w:pPr>
            <w:r>
              <w:rPr>
                <w:rFonts w:hint="eastAsia"/>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1</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无线AC</w:t>
            </w:r>
          </w:p>
        </w:tc>
        <w:tc>
          <w:tcPr>
            <w:tcW w:w="2891" w:type="pct"/>
            <w:shd w:val="clear" w:color="auto" w:fill="auto"/>
            <w:vAlign w:val="center"/>
          </w:tcPr>
          <w:p>
            <w:pPr>
              <w:pStyle w:val="46"/>
            </w:pPr>
            <w:r>
              <w:rPr>
                <w:rFonts w:hint="eastAsia"/>
              </w:rPr>
              <w:t>RG-WS6008</w:t>
            </w:r>
          </w:p>
        </w:tc>
        <w:tc>
          <w:tcPr>
            <w:tcW w:w="387" w:type="pct"/>
            <w:shd w:val="clear" w:color="auto" w:fill="auto"/>
            <w:vAlign w:val="center"/>
          </w:tcPr>
          <w:p>
            <w:pPr>
              <w:pStyle w:val="4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2</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无线AP</w:t>
            </w:r>
          </w:p>
        </w:tc>
        <w:tc>
          <w:tcPr>
            <w:tcW w:w="2891" w:type="pct"/>
            <w:shd w:val="clear" w:color="auto" w:fill="auto"/>
            <w:vAlign w:val="center"/>
          </w:tcPr>
          <w:p>
            <w:pPr>
              <w:pStyle w:val="46"/>
            </w:pPr>
            <w:r>
              <w:rPr>
                <w:rFonts w:hint="eastAsia"/>
              </w:rPr>
              <w:t>RG-AP520/</w:t>
            </w:r>
            <w:r>
              <w:t xml:space="preserve"> RG-AP720L/RG-AP840</w:t>
            </w:r>
          </w:p>
        </w:tc>
        <w:tc>
          <w:tcPr>
            <w:tcW w:w="387" w:type="pct"/>
            <w:shd w:val="clear" w:color="auto" w:fill="auto"/>
            <w:vAlign w:val="center"/>
          </w:tcPr>
          <w:p>
            <w:pPr>
              <w:pStyle w:val="46"/>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3</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安全网关</w:t>
            </w:r>
          </w:p>
        </w:tc>
        <w:tc>
          <w:tcPr>
            <w:tcW w:w="2891" w:type="pct"/>
            <w:shd w:val="clear" w:color="auto" w:fill="auto"/>
            <w:vAlign w:val="center"/>
          </w:tcPr>
          <w:p>
            <w:pPr>
              <w:pStyle w:val="46"/>
            </w:pPr>
            <w:r>
              <w:rPr>
                <w:rFonts w:hint="eastAsia"/>
              </w:rPr>
              <w:t>RG-EG2000</w:t>
            </w:r>
            <w:r>
              <w:t>/RG-EG3210</w:t>
            </w:r>
          </w:p>
        </w:tc>
        <w:tc>
          <w:tcPr>
            <w:tcW w:w="387" w:type="pct"/>
            <w:shd w:val="clear" w:color="auto" w:fill="auto"/>
            <w:vAlign w:val="center"/>
          </w:tcPr>
          <w:p>
            <w:pPr>
              <w:pStyle w:val="4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4</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三层交换机</w:t>
            </w:r>
          </w:p>
        </w:tc>
        <w:tc>
          <w:tcPr>
            <w:tcW w:w="2891" w:type="pct"/>
            <w:shd w:val="clear" w:color="auto" w:fill="auto"/>
            <w:vAlign w:val="center"/>
          </w:tcPr>
          <w:p>
            <w:pPr>
              <w:pStyle w:val="46"/>
            </w:pPr>
            <w:r>
              <w:rPr>
                <w:rFonts w:hint="eastAsia"/>
              </w:rPr>
              <w:t>RG-S5750</w:t>
            </w:r>
            <w:r>
              <w:t xml:space="preserve"> /RG-S5310</w:t>
            </w:r>
          </w:p>
        </w:tc>
        <w:tc>
          <w:tcPr>
            <w:tcW w:w="387" w:type="pct"/>
            <w:shd w:val="clear" w:color="auto" w:fill="auto"/>
            <w:vAlign w:val="center"/>
          </w:tcPr>
          <w:p>
            <w:pPr>
              <w:pStyle w:val="46"/>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5</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二层接入交换机</w:t>
            </w:r>
          </w:p>
        </w:tc>
        <w:tc>
          <w:tcPr>
            <w:tcW w:w="2891" w:type="pct"/>
            <w:shd w:val="clear" w:color="auto" w:fill="auto"/>
            <w:vAlign w:val="center"/>
          </w:tcPr>
          <w:p>
            <w:pPr>
              <w:pStyle w:val="46"/>
            </w:pPr>
            <w:r>
              <w:t>RG-S2910/RG-S5300</w:t>
            </w:r>
          </w:p>
        </w:tc>
        <w:tc>
          <w:tcPr>
            <w:tcW w:w="387" w:type="pct"/>
            <w:shd w:val="clear" w:color="auto" w:fill="auto"/>
            <w:vAlign w:val="center"/>
          </w:tcPr>
          <w:p>
            <w:pPr>
              <w:pStyle w:val="46"/>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6</w:t>
            </w:r>
          </w:p>
        </w:tc>
        <w:tc>
          <w:tcPr>
            <w:tcW w:w="389" w:type="pct"/>
            <w:shd w:val="clear" w:color="auto" w:fill="auto"/>
            <w:vAlign w:val="center"/>
          </w:tcPr>
          <w:p>
            <w:pPr>
              <w:pStyle w:val="46"/>
            </w:pPr>
            <w:r>
              <w:rPr>
                <w:rFonts w:hint="eastAsia"/>
              </w:rPr>
              <w:t>锐捷</w:t>
            </w:r>
          </w:p>
        </w:tc>
        <w:tc>
          <w:tcPr>
            <w:tcW w:w="948" w:type="pct"/>
            <w:shd w:val="clear" w:color="auto" w:fill="auto"/>
            <w:vAlign w:val="center"/>
          </w:tcPr>
          <w:p>
            <w:pPr>
              <w:pStyle w:val="46"/>
            </w:pPr>
            <w:r>
              <w:rPr>
                <w:rFonts w:hint="eastAsia"/>
              </w:rPr>
              <w:t>认证系统</w:t>
            </w:r>
          </w:p>
        </w:tc>
        <w:tc>
          <w:tcPr>
            <w:tcW w:w="2891" w:type="pct"/>
            <w:shd w:val="clear" w:color="auto" w:fill="auto"/>
            <w:vAlign w:val="center"/>
          </w:tcPr>
          <w:p>
            <w:pPr>
              <w:pStyle w:val="46"/>
            </w:pPr>
            <w:r>
              <w:rPr>
                <w:rFonts w:hint="eastAsia"/>
              </w:rPr>
              <w:t>RG-ESS1000</w:t>
            </w:r>
          </w:p>
        </w:tc>
        <w:tc>
          <w:tcPr>
            <w:tcW w:w="387" w:type="pct"/>
            <w:shd w:val="clear" w:color="auto" w:fill="auto"/>
            <w:vAlign w:val="center"/>
          </w:tcPr>
          <w:p>
            <w:pPr>
              <w:pStyle w:val="46"/>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7</w:t>
            </w:r>
          </w:p>
        </w:tc>
        <w:tc>
          <w:tcPr>
            <w:tcW w:w="389" w:type="pct"/>
            <w:shd w:val="clear" w:color="auto" w:fill="auto"/>
            <w:vAlign w:val="center"/>
          </w:tcPr>
          <w:p>
            <w:pPr>
              <w:pStyle w:val="46"/>
            </w:pPr>
          </w:p>
        </w:tc>
        <w:tc>
          <w:tcPr>
            <w:tcW w:w="948" w:type="pct"/>
            <w:shd w:val="clear" w:color="auto" w:fill="auto"/>
            <w:vAlign w:val="center"/>
          </w:tcPr>
          <w:p>
            <w:pPr>
              <w:pStyle w:val="46"/>
            </w:pPr>
            <w:r>
              <w:rPr>
                <w:rFonts w:hint="eastAsia"/>
              </w:rPr>
              <w:t>虚拟仿真工程训练平台</w:t>
            </w:r>
          </w:p>
        </w:tc>
        <w:tc>
          <w:tcPr>
            <w:tcW w:w="2891" w:type="pct"/>
            <w:shd w:val="clear" w:color="auto" w:fill="auto"/>
            <w:vAlign w:val="center"/>
          </w:tcPr>
          <w:p>
            <w:pPr>
              <w:pStyle w:val="46"/>
            </w:pPr>
            <w:r>
              <w:rPr>
                <w:rFonts w:hint="eastAsia"/>
              </w:rPr>
              <w:t>虚拟仿真工程训练平台</w:t>
            </w:r>
          </w:p>
        </w:tc>
        <w:tc>
          <w:tcPr>
            <w:tcW w:w="387" w:type="pct"/>
            <w:shd w:val="clear" w:color="auto" w:fill="auto"/>
            <w:vAlign w:val="center"/>
          </w:tcPr>
          <w:p>
            <w:pPr>
              <w:pStyle w:val="46"/>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82" w:type="pct"/>
            <w:shd w:val="clear" w:color="auto" w:fill="auto"/>
            <w:vAlign w:val="center"/>
          </w:tcPr>
          <w:p>
            <w:pPr>
              <w:pStyle w:val="46"/>
            </w:pPr>
            <w:r>
              <w:rPr>
                <w:rFonts w:hint="eastAsia"/>
              </w:rPr>
              <w:t>8</w:t>
            </w:r>
          </w:p>
        </w:tc>
        <w:tc>
          <w:tcPr>
            <w:tcW w:w="389" w:type="pct"/>
            <w:shd w:val="clear" w:color="auto" w:fill="auto"/>
            <w:vAlign w:val="center"/>
          </w:tcPr>
          <w:p>
            <w:pPr>
              <w:pStyle w:val="46"/>
            </w:pPr>
            <w:r>
              <w:rPr>
                <w:rFonts w:hint="eastAsia"/>
              </w:rPr>
              <w:t>-</w:t>
            </w:r>
          </w:p>
        </w:tc>
        <w:tc>
          <w:tcPr>
            <w:tcW w:w="948" w:type="pct"/>
            <w:shd w:val="clear" w:color="auto" w:fill="auto"/>
            <w:vAlign w:val="center"/>
          </w:tcPr>
          <w:p>
            <w:pPr>
              <w:pStyle w:val="46"/>
            </w:pPr>
            <w:r>
              <w:rPr>
                <w:rFonts w:hint="eastAsia"/>
              </w:rPr>
              <w:t>个人计算机</w:t>
            </w:r>
          </w:p>
        </w:tc>
        <w:tc>
          <w:tcPr>
            <w:tcW w:w="2891" w:type="pct"/>
            <w:shd w:val="clear" w:color="auto" w:fill="auto"/>
            <w:vAlign w:val="center"/>
          </w:tcPr>
          <w:p>
            <w:pPr>
              <w:pStyle w:val="46"/>
            </w:pPr>
            <w:r>
              <w:t xml:space="preserve">Windows </w:t>
            </w:r>
            <w:r>
              <w:rPr>
                <w:rFonts w:hint="eastAsia"/>
              </w:rPr>
              <w:t>10或更新版本，处理器2.2GHz 以上，内存8GB以上，硬盘500GB以上，USB接口不少于4个，自带串口用于连接调试线缆，有线千兆以太网卡1个，无线网络适配器1个，显示器分辨率1024x768像素或以上</w:t>
            </w:r>
          </w:p>
        </w:tc>
        <w:tc>
          <w:tcPr>
            <w:tcW w:w="387" w:type="pct"/>
            <w:shd w:val="clear" w:color="auto" w:fill="auto"/>
            <w:vAlign w:val="center"/>
          </w:tcPr>
          <w:p>
            <w:pPr>
              <w:pStyle w:val="46"/>
            </w:pPr>
            <w:r>
              <w:rPr>
                <w:rFonts w:hint="eastAsia"/>
              </w:rPr>
              <w:t>3</w:t>
            </w:r>
          </w:p>
        </w:tc>
      </w:tr>
    </w:tbl>
    <w:p>
      <w:pPr>
        <w:pStyle w:val="4"/>
        <w:ind w:firstLine="480"/>
      </w:pPr>
      <w:r>
        <w:rPr>
          <w:rFonts w:hint="eastAsia"/>
        </w:rPr>
        <w:t>十一、成绩评定</w:t>
      </w:r>
    </w:p>
    <w:p>
      <w:pPr>
        <w:pStyle w:val="5"/>
        <w:ind w:firstLine="480"/>
      </w:pPr>
      <w:r>
        <w:rPr>
          <w:rFonts w:hint="eastAsia"/>
        </w:rPr>
        <w:t>（一）评分原则</w:t>
      </w:r>
    </w:p>
    <w:p>
      <w:pPr>
        <w:ind w:firstLine="480" w:firstLineChars="200"/>
        <w:rPr>
          <w:rFonts w:ascii="仿宋_GB2312"/>
        </w:rPr>
      </w:pPr>
      <w:r>
        <w:rPr>
          <w:rFonts w:hint="eastAsia" w:ascii="仿宋_GB2312"/>
        </w:rPr>
        <w:t>1.客观性结果评分原则。采用与行业真实工程项目验收标准相对接，不看命令和过程配置，只看功能点是否实现，依据设备功能实现的show状态信息或web截图状态信息，深入考查学生对重要功能的理解是否深入，规避死记硬背，以此更能突显赛项过程与真实工作接轨的目的。</w:t>
      </w:r>
    </w:p>
    <w:p>
      <w:pPr>
        <w:ind w:firstLine="480" w:firstLineChars="200"/>
        <w:rPr>
          <w:rFonts w:ascii="仿宋_GB2312"/>
        </w:rPr>
      </w:pPr>
      <w:r>
        <w:rPr>
          <w:rFonts w:hint="eastAsia" w:ascii="仿宋_GB2312"/>
        </w:rPr>
        <w:t>2.独立评分原则。根据裁判分工，负责相同模块评分工作的不同裁判采取随机抽签独立评分，确保成绩评定严谨、客观、准确。裁判进行随机抽签分组，杜绝主观意愿组队，各自完全独立评分，裁判员间互不干涉，比赛监督人员可随机监督。</w:t>
      </w:r>
    </w:p>
    <w:p>
      <w:pPr>
        <w:ind w:firstLine="480" w:firstLineChars="200"/>
        <w:rPr>
          <w:rFonts w:ascii="仿宋_GB2312"/>
        </w:rPr>
      </w:pPr>
      <w:r>
        <w:rPr>
          <w:rFonts w:hint="eastAsia" w:ascii="仿宋_GB2312"/>
        </w:rPr>
        <w:t>3.错误不传递原则。各环节分别计算得分，错误不传递，按规定比例计入团队总分。</w:t>
      </w:r>
    </w:p>
    <w:p>
      <w:pPr>
        <w:ind w:firstLine="480" w:firstLineChars="200"/>
        <w:rPr>
          <w:rFonts w:ascii="仿宋_GB2312"/>
        </w:rPr>
      </w:pPr>
      <w:r>
        <w:rPr>
          <w:rFonts w:hint="eastAsia" w:ascii="仿宋_GB2312"/>
        </w:rPr>
        <w:t>4.抽查复核原则。</w:t>
      </w:r>
    </w:p>
    <w:p>
      <w:pPr>
        <w:ind w:firstLine="480" w:firstLineChars="200"/>
        <w:rPr>
          <w:rFonts w:ascii="仿宋_GB2312"/>
        </w:rPr>
      </w:pPr>
      <w:r>
        <w:rPr>
          <w:rFonts w:hint="eastAsia" w:ascii="仿宋_GB2312"/>
        </w:rPr>
        <w:t>（1）为保障成绩评判的准确性，监督组对赛项总成绩排名前30%的所有参赛队伍（选手）的成绩进行复核；对其余成绩进行抽检复核，抽检覆盖率不得低于15%。</w:t>
      </w:r>
    </w:p>
    <w:p>
      <w:pPr>
        <w:ind w:firstLine="480" w:firstLineChars="200"/>
        <w:rPr>
          <w:rFonts w:ascii="仿宋_GB2312"/>
        </w:rPr>
      </w:pPr>
      <w:r>
        <w:rPr>
          <w:rFonts w:hint="eastAsia" w:ascii="仿宋_GB2312"/>
        </w:rPr>
        <w:t>（2）监督组需将复检中发现的错误以书面方式及时告知裁判长，由裁判长更正成绩并签字确认。</w:t>
      </w:r>
    </w:p>
    <w:p>
      <w:pPr>
        <w:ind w:firstLine="480" w:firstLineChars="200"/>
        <w:rPr>
          <w:rFonts w:ascii="仿宋_GB2312"/>
        </w:rPr>
      </w:pPr>
      <w:r>
        <w:rPr>
          <w:rFonts w:hint="eastAsia" w:ascii="仿宋_GB2312"/>
        </w:rPr>
        <w:t>（3）复核、抽检错误率超过5%的，则认定为非小概率事件，裁判组需对所有成绩进行复核。</w:t>
      </w:r>
    </w:p>
    <w:p>
      <w:pPr>
        <w:pStyle w:val="5"/>
        <w:ind w:firstLine="480"/>
      </w:pPr>
      <w:r>
        <w:rPr>
          <w:rFonts w:hint="eastAsia"/>
        </w:rPr>
        <w:t>（二）评分细则</w:t>
      </w:r>
    </w:p>
    <w:p>
      <w:pPr>
        <w:ind w:firstLine="961"/>
        <w:jc w:val="center"/>
        <w:rPr>
          <w:rFonts w:ascii="仿宋_GB2312"/>
          <w:b/>
        </w:rPr>
      </w:pPr>
      <w:r>
        <w:rPr>
          <w:rFonts w:hint="eastAsia" w:ascii="仿宋_GB2312"/>
          <w:b/>
        </w:rPr>
        <w:t>表5  评分细则表</w:t>
      </w:r>
    </w:p>
    <w:tbl>
      <w:tblPr>
        <w:tblStyle w:val="37"/>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09"/>
        <w:gridCol w:w="7256"/>
        <w:gridCol w:w="7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blHeader/>
          <w:jc w:val="center"/>
        </w:trPr>
        <w:tc>
          <w:tcPr>
            <w:tcW w:w="705" w:type="pct"/>
            <w:shd w:val="clear" w:color="auto" w:fill="auto"/>
            <w:vAlign w:val="center"/>
          </w:tcPr>
          <w:p>
            <w:pPr>
              <w:pStyle w:val="46"/>
              <w:rPr>
                <w:b/>
                <w:bCs/>
              </w:rPr>
            </w:pPr>
            <w:r>
              <w:rPr>
                <w:rFonts w:hint="eastAsia"/>
                <w:b/>
                <w:bCs/>
              </w:rPr>
              <w:t>比赛</w:t>
            </w:r>
          </w:p>
          <w:p>
            <w:pPr>
              <w:pStyle w:val="46"/>
              <w:rPr>
                <w:b/>
                <w:bCs/>
              </w:rPr>
            </w:pPr>
            <w:r>
              <w:rPr>
                <w:rFonts w:hint="eastAsia"/>
                <w:b/>
                <w:bCs/>
              </w:rPr>
              <w:t>模块</w:t>
            </w:r>
          </w:p>
        </w:tc>
        <w:tc>
          <w:tcPr>
            <w:tcW w:w="3905" w:type="pct"/>
            <w:shd w:val="clear" w:color="auto" w:fill="auto"/>
            <w:vAlign w:val="center"/>
          </w:tcPr>
          <w:p>
            <w:pPr>
              <w:pStyle w:val="46"/>
              <w:rPr>
                <w:b/>
                <w:bCs/>
              </w:rPr>
            </w:pPr>
            <w:r>
              <w:rPr>
                <w:rFonts w:hint="eastAsia"/>
                <w:b/>
                <w:bCs/>
              </w:rPr>
              <w:t>考察点简述描述</w:t>
            </w:r>
          </w:p>
        </w:tc>
        <w:tc>
          <w:tcPr>
            <w:tcW w:w="388" w:type="pct"/>
            <w:shd w:val="clear" w:color="auto" w:fill="auto"/>
            <w:vAlign w:val="center"/>
          </w:tcPr>
          <w:p>
            <w:pPr>
              <w:pStyle w:val="46"/>
              <w:rPr>
                <w:b/>
                <w:bCs/>
              </w:rPr>
            </w:pPr>
            <w:r>
              <w:rPr>
                <w:rFonts w:hint="eastAsia"/>
                <w:b/>
                <w:bCs/>
              </w:rPr>
              <w:t>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jc w:val="center"/>
        </w:trPr>
        <w:tc>
          <w:tcPr>
            <w:tcW w:w="705" w:type="pct"/>
            <w:shd w:val="clear" w:color="auto" w:fill="auto"/>
            <w:vAlign w:val="center"/>
          </w:tcPr>
          <w:p>
            <w:pPr>
              <w:pStyle w:val="46"/>
            </w:pPr>
            <w:r>
              <w:rPr>
                <w:rFonts w:hint="eastAsia"/>
              </w:rPr>
              <w:t>无线网络勘测与设计</w:t>
            </w:r>
          </w:p>
        </w:tc>
        <w:tc>
          <w:tcPr>
            <w:tcW w:w="3905" w:type="pct"/>
            <w:shd w:val="clear" w:color="auto" w:fill="auto"/>
            <w:vAlign w:val="center"/>
          </w:tcPr>
          <w:p>
            <w:pPr>
              <w:pStyle w:val="46"/>
              <w:jc w:val="left"/>
            </w:pPr>
            <w:r>
              <w:rPr>
                <w:rFonts w:hint="eastAsia"/>
              </w:rPr>
              <w:t>绘制平面图、AP点位图、热图、设备清单、总价表；</w:t>
            </w:r>
          </w:p>
          <w:p>
            <w:pPr>
              <w:pStyle w:val="46"/>
              <w:jc w:val="left"/>
            </w:pPr>
            <w:r>
              <w:rPr>
                <w:rFonts w:hint="eastAsia"/>
              </w:rPr>
              <w:t>综合布线工程的水平布线图、机柜设备安装图、配线架标签、物料清单。</w:t>
            </w:r>
          </w:p>
        </w:tc>
        <w:tc>
          <w:tcPr>
            <w:tcW w:w="388" w:type="pct"/>
            <w:shd w:val="clear" w:color="auto" w:fill="auto"/>
            <w:vAlign w:val="center"/>
          </w:tcPr>
          <w:p>
            <w:pPr>
              <w:pStyle w:val="46"/>
            </w:pPr>
            <w:r>
              <w:t>25</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705" w:type="pct"/>
            <w:shd w:val="clear" w:color="auto" w:fill="auto"/>
            <w:vAlign w:val="center"/>
          </w:tcPr>
          <w:p>
            <w:pPr>
              <w:pStyle w:val="46"/>
            </w:pPr>
            <w:r>
              <w:rPr>
                <w:rFonts w:hint="eastAsia"/>
              </w:rPr>
              <w:t>网络搭建与网络冗余备份方案部署</w:t>
            </w:r>
          </w:p>
        </w:tc>
        <w:tc>
          <w:tcPr>
            <w:tcW w:w="3905" w:type="pct"/>
            <w:shd w:val="clear" w:color="auto" w:fill="auto"/>
            <w:vAlign w:val="center"/>
          </w:tcPr>
          <w:p>
            <w:pPr>
              <w:pStyle w:val="46"/>
              <w:jc w:val="left"/>
            </w:pPr>
            <w:r>
              <w:rPr>
                <w:rFonts w:hint="eastAsia"/>
              </w:rPr>
              <w:t>配置设备命名规范、登录配置规范；</w:t>
            </w:r>
          </w:p>
          <w:p>
            <w:pPr>
              <w:pStyle w:val="46"/>
              <w:jc w:val="left"/>
            </w:pPr>
            <w:r>
              <w:rPr>
                <w:rFonts w:hint="eastAsia"/>
              </w:rPr>
              <w:t xml:space="preserve">使用交换机配置虚拟局域网技术（如VLAN、DHCP、RLDP、MSTP）； </w:t>
            </w:r>
          </w:p>
          <w:p>
            <w:pPr>
              <w:pStyle w:val="46"/>
              <w:jc w:val="left"/>
            </w:pPr>
            <w:r>
              <w:rPr>
                <w:rFonts w:hint="eastAsia"/>
              </w:rPr>
              <w:t>使用交换机配置路由技术（如静态、RIP、OSPF等），实现网络连通；</w:t>
            </w:r>
          </w:p>
          <w:p>
            <w:pPr>
              <w:pStyle w:val="46"/>
              <w:jc w:val="left"/>
            </w:pPr>
            <w:r>
              <w:rPr>
                <w:rFonts w:hint="eastAsia"/>
              </w:rPr>
              <w:t>使用交换机配置高可靠性技术（如链路聚合、DLDP 、BFD、VRRP等），实现链路快速收敛与网关级备份；</w:t>
            </w:r>
          </w:p>
          <w:p>
            <w:pPr>
              <w:pStyle w:val="46"/>
              <w:jc w:val="left"/>
            </w:pPr>
            <w:r>
              <w:rPr>
                <w:rFonts w:hint="eastAsia"/>
              </w:rPr>
              <w:t>使用交换机配置VSU技术，实现数据中心虚拟化和高可靠；</w:t>
            </w:r>
          </w:p>
          <w:p>
            <w:pPr>
              <w:pStyle w:val="46"/>
              <w:jc w:val="left"/>
            </w:pPr>
            <w:r>
              <w:rPr>
                <w:rFonts w:hint="eastAsia"/>
              </w:rPr>
              <w:t>使用交换路由设备配置QoS，实现网络服务质量。</w:t>
            </w:r>
          </w:p>
        </w:tc>
        <w:tc>
          <w:tcPr>
            <w:tcW w:w="388" w:type="pct"/>
            <w:shd w:val="clear" w:color="auto" w:fill="auto"/>
            <w:vAlign w:val="center"/>
          </w:tcPr>
          <w:p>
            <w:pPr>
              <w:pStyle w:val="46"/>
            </w:pPr>
            <w:r>
              <w:t>2</w:t>
            </w:r>
            <w:r>
              <w:rPr>
                <w:rFonts w:hint="eastAsia"/>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705" w:type="pct"/>
            <w:shd w:val="clear" w:color="auto" w:fill="auto"/>
            <w:vAlign w:val="center"/>
          </w:tcPr>
          <w:p>
            <w:pPr>
              <w:pStyle w:val="46"/>
            </w:pPr>
            <w:r>
              <w:rPr>
                <w:rFonts w:hint="eastAsia"/>
              </w:rPr>
              <w:t>移动互联网搭建网优与认证</w:t>
            </w:r>
          </w:p>
        </w:tc>
        <w:tc>
          <w:tcPr>
            <w:tcW w:w="3905" w:type="pct"/>
            <w:shd w:val="clear" w:color="auto" w:fill="auto"/>
            <w:vAlign w:val="center"/>
          </w:tcPr>
          <w:p>
            <w:pPr>
              <w:pStyle w:val="46"/>
              <w:jc w:val="left"/>
            </w:pPr>
            <w:r>
              <w:rPr>
                <w:rFonts w:hint="eastAsia"/>
              </w:rPr>
              <w:t>使用无线控制器配置转发模式，实现用户数据本地或集中转发方式；</w:t>
            </w:r>
          </w:p>
          <w:p>
            <w:pPr>
              <w:pStyle w:val="46"/>
              <w:jc w:val="left"/>
            </w:pPr>
            <w:r>
              <w:rPr>
                <w:rFonts w:hint="eastAsia"/>
              </w:rPr>
              <w:t>使用无线控制器创建SSID，实现无线用户关联SSID；</w:t>
            </w:r>
          </w:p>
          <w:p>
            <w:pPr>
              <w:pStyle w:val="46"/>
              <w:jc w:val="left"/>
            </w:pPr>
            <w:r>
              <w:rPr>
                <w:rFonts w:hint="eastAsia"/>
              </w:rPr>
              <w:t>使用无线控制器配置热备功能，实现双AC负载均衡；</w:t>
            </w:r>
          </w:p>
          <w:p>
            <w:pPr>
              <w:pStyle w:val="46"/>
              <w:jc w:val="left"/>
            </w:pPr>
            <w:r>
              <w:rPr>
                <w:rFonts w:hint="eastAsia"/>
              </w:rPr>
              <w:t>使用无线控制器配置AP隔离，实现无线用户二层隔离；</w:t>
            </w:r>
          </w:p>
          <w:p>
            <w:pPr>
              <w:pStyle w:val="46"/>
              <w:jc w:val="left"/>
            </w:pPr>
            <w:r>
              <w:rPr>
                <w:rFonts w:hint="eastAsia"/>
              </w:rPr>
              <w:t>使用无线控制器针对无线信号及应用进行优化等操作；</w:t>
            </w:r>
          </w:p>
          <w:p>
            <w:pPr>
              <w:pStyle w:val="46"/>
              <w:jc w:val="left"/>
            </w:pPr>
            <w:r>
              <w:rPr>
                <w:rFonts w:hint="eastAsia"/>
              </w:rPr>
              <w:t>使用无线控制器针对无线网络进行安全加固等操作。</w:t>
            </w:r>
          </w:p>
        </w:tc>
        <w:tc>
          <w:tcPr>
            <w:tcW w:w="388" w:type="pct"/>
            <w:shd w:val="clear" w:color="auto" w:fill="auto"/>
            <w:vAlign w:val="center"/>
          </w:tcPr>
          <w:p>
            <w:pPr>
              <w:pStyle w:val="46"/>
            </w:pPr>
            <w:r>
              <w:rPr>
                <w:rFonts w:hint="eastAsia"/>
              </w:rPr>
              <w:t>3</w:t>
            </w:r>
            <w:r>
              <w:t>0</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705" w:type="pct"/>
            <w:shd w:val="clear" w:color="auto" w:fill="auto"/>
            <w:vAlign w:val="center"/>
          </w:tcPr>
          <w:p>
            <w:pPr>
              <w:pStyle w:val="46"/>
            </w:pPr>
            <w:r>
              <w:rPr>
                <w:rFonts w:hint="eastAsia"/>
              </w:rPr>
              <w:t>出口安全防护与审计</w:t>
            </w:r>
          </w:p>
        </w:tc>
        <w:tc>
          <w:tcPr>
            <w:tcW w:w="3905" w:type="pct"/>
            <w:shd w:val="clear" w:color="000000" w:fill="FFFFFF"/>
            <w:vAlign w:val="center"/>
          </w:tcPr>
          <w:p>
            <w:pPr>
              <w:pStyle w:val="46"/>
            </w:pPr>
            <w:r>
              <w:rPr>
                <w:rFonts w:hint="eastAsia"/>
              </w:rPr>
              <w:t>使用出口网关配置NAPT及时间控制，实现用户访问互联网；</w:t>
            </w:r>
          </w:p>
          <w:p>
            <w:pPr>
              <w:pStyle w:val="46"/>
            </w:pPr>
            <w:r>
              <w:rPr>
                <w:rFonts w:hint="eastAsia"/>
              </w:rPr>
              <w:t>使用出口网关进行流量控制、行为审计等安全措施操作；</w:t>
            </w:r>
          </w:p>
          <w:p>
            <w:pPr>
              <w:pStyle w:val="46"/>
            </w:pPr>
            <w:r>
              <w:rPr>
                <w:rFonts w:hint="eastAsia"/>
              </w:rPr>
              <w:t>使用出口网关进行网络流量安全加固等操作。</w:t>
            </w:r>
          </w:p>
        </w:tc>
        <w:tc>
          <w:tcPr>
            <w:tcW w:w="388" w:type="pct"/>
            <w:shd w:val="clear" w:color="000000" w:fill="FFFFFF"/>
            <w:vAlign w:val="center"/>
          </w:tcPr>
          <w:p>
            <w:pPr>
              <w:pStyle w:val="46"/>
            </w:pPr>
            <w:r>
              <w:rPr>
                <w:rFonts w:hint="eastAsia"/>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705" w:type="pct"/>
            <w:shd w:val="clear" w:color="auto" w:fill="auto"/>
            <w:vAlign w:val="center"/>
          </w:tcPr>
          <w:p>
            <w:pPr>
              <w:pStyle w:val="46"/>
            </w:pPr>
            <w:r>
              <w:rPr>
                <w:rFonts w:hint="eastAsia"/>
              </w:rPr>
              <w:t>职业规范与文档</w:t>
            </w:r>
          </w:p>
        </w:tc>
        <w:tc>
          <w:tcPr>
            <w:tcW w:w="3905" w:type="pct"/>
            <w:shd w:val="clear" w:color="auto" w:fill="auto"/>
            <w:vAlign w:val="center"/>
          </w:tcPr>
          <w:p>
            <w:pPr>
              <w:pStyle w:val="46"/>
            </w:pPr>
            <w:r>
              <w:rPr>
                <w:rFonts w:hint="eastAsia"/>
              </w:rPr>
              <w:t>职业规范与赛场纪律，包含赛场安全、人身安全相关；环境保持、着装、安全帽相关；赛场纪律及其他；文档规范性，包含提交的文件有效；文件名称符合赛题要求；文件内容排版规范。</w:t>
            </w:r>
          </w:p>
        </w:tc>
        <w:tc>
          <w:tcPr>
            <w:tcW w:w="388" w:type="pct"/>
            <w:shd w:val="clear" w:color="auto" w:fill="auto"/>
            <w:vAlign w:val="center"/>
          </w:tcPr>
          <w:p>
            <w:pPr>
              <w:pStyle w:val="46"/>
            </w:pPr>
            <w:r>
              <w:rPr>
                <w:rFonts w:hint="eastAsia"/>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4611" w:type="pct"/>
            <w:gridSpan w:val="2"/>
            <w:shd w:val="clear" w:color="auto" w:fill="auto"/>
            <w:vAlign w:val="center"/>
          </w:tcPr>
          <w:p>
            <w:pPr>
              <w:pStyle w:val="46"/>
            </w:pPr>
            <w:r>
              <w:rPr>
                <w:rFonts w:hint="eastAsia"/>
              </w:rPr>
              <w:t>总计</w:t>
            </w:r>
          </w:p>
        </w:tc>
        <w:tc>
          <w:tcPr>
            <w:tcW w:w="388" w:type="pct"/>
            <w:shd w:val="clear" w:color="auto" w:fill="auto"/>
            <w:vAlign w:val="center"/>
          </w:tcPr>
          <w:p>
            <w:pPr>
              <w:pStyle w:val="46"/>
            </w:pPr>
            <w:r>
              <w:rPr>
                <w:rFonts w:hint="eastAsia"/>
              </w:rPr>
              <w:t>100%</w:t>
            </w:r>
          </w:p>
        </w:tc>
      </w:tr>
    </w:tbl>
    <w:p>
      <w:pPr>
        <w:pStyle w:val="5"/>
        <w:ind w:firstLine="480"/>
      </w:pPr>
      <w:r>
        <w:rPr>
          <w:rFonts w:hint="eastAsia"/>
        </w:rPr>
        <w:t>（三）评分方法</w:t>
      </w:r>
    </w:p>
    <w:p>
      <w:pPr>
        <w:snapToGrid w:val="0"/>
        <w:ind w:firstLine="480" w:firstLineChars="200"/>
        <w:rPr>
          <w:rFonts w:ascii="仿宋_GB2312" w:hAnsi="仿宋_GB2312" w:cs="仿宋_GB2312"/>
          <w:kern w:val="0"/>
        </w:rPr>
      </w:pPr>
      <w:r>
        <w:rPr>
          <w:rFonts w:hint="eastAsia" w:ascii="仿宋_GB2312" w:hAnsi="仿宋_GB2312" w:cs="仿宋_GB2312"/>
          <w:kern w:val="0"/>
        </w:rPr>
        <w:t xml:space="preserve">1. </w:t>
      </w:r>
      <w:r>
        <w:rPr>
          <w:rFonts w:hint="eastAsia" w:ascii="仿宋_GB2312" w:hAnsi="仿宋"/>
        </w:rPr>
        <w:t>裁判组遵照大赛执委会要求成立，需要裁判长1人，具备中级以上职称，熟悉网络规划设计、交换机及无线网络设备配置等专业技术技能的裁判9名（包含现场裁判3人、评分裁判6人），另外需要加密裁判2人。</w:t>
      </w:r>
    </w:p>
    <w:p>
      <w:pPr>
        <w:ind w:firstLine="480" w:firstLineChars="200"/>
        <w:rPr>
          <w:rFonts w:ascii="仿宋_GB2312"/>
        </w:rPr>
      </w:pPr>
      <w:r>
        <w:rPr>
          <w:rFonts w:hint="eastAsia" w:ascii="仿宋_GB2312"/>
        </w:rPr>
        <w:t>2.竞赛对参赛队伍提交的作品采取客观性结果评分。采取分步得分、累计总分的计分方式。各环节分别计算得分，错误不传递，按规定比例计入团队总分。根据赛题情况划分模块，每两名裁判负责一个模块进行独立评分。</w:t>
      </w:r>
    </w:p>
    <w:p>
      <w:pPr>
        <w:ind w:firstLine="480" w:firstLineChars="200"/>
        <w:rPr>
          <w:rFonts w:ascii="仿宋_GB2312"/>
        </w:rPr>
      </w:pPr>
      <w:r>
        <w:rPr>
          <w:rFonts w:hint="eastAsia" w:ascii="仿宋_GB2312"/>
        </w:rPr>
        <w:t>3.裁判长正式提交评分结果并复核无误后，加密裁判在监督人员监督下进行解密：竞赛结果到工位号解密；工位号到参赛编号解密；参赛编号到参赛队名称解密。</w:t>
      </w:r>
    </w:p>
    <w:p>
      <w:pPr>
        <w:ind w:firstLine="480" w:firstLineChars="200"/>
        <w:rPr>
          <w:rFonts w:ascii="仿宋_GB2312"/>
        </w:rPr>
      </w:pPr>
      <w:r>
        <w:rPr>
          <w:rFonts w:hint="eastAsia" w:ascii="仿宋_GB2312"/>
        </w:rPr>
        <w:t>4.为保障成绩评判的准确性，监督组对赛项总成绩排名前30%的所有参赛队伍的成绩进行复核；其余成绩进行抽检复核，抽检覆盖率不低于15%。</w:t>
      </w:r>
    </w:p>
    <w:p>
      <w:pPr>
        <w:ind w:firstLine="480" w:firstLineChars="200"/>
        <w:rPr>
          <w:rFonts w:ascii="仿宋_GB2312"/>
        </w:rPr>
      </w:pPr>
      <w:r>
        <w:rPr>
          <w:rFonts w:hint="eastAsia" w:ascii="仿宋_GB2312"/>
        </w:rPr>
        <w:t>5.监督组在复检中发现错误，需以书面形式及时告知裁判长，由裁判长更正成绩并签字确认。如复核、抽检错误率超过5%，裁判组需对所有成绩进行复核。</w:t>
      </w:r>
    </w:p>
    <w:p>
      <w:pPr>
        <w:ind w:firstLine="480" w:firstLineChars="200"/>
        <w:rPr>
          <w:rFonts w:hint="eastAsia" w:ascii="仿宋_GB2312" w:hAnsi="Times New Roman" w:cs="Times New Roman"/>
        </w:rPr>
      </w:pPr>
      <w:r>
        <w:rPr>
          <w:rFonts w:hint="eastAsia" w:ascii="仿宋_GB2312" w:hAnsi="Times New Roman" w:cs="Times New Roman"/>
        </w:rPr>
        <w:t>6.在竞赛过程中，参赛选手如有不服从裁判裁决、扰乱赛场秩序、舞弊等行为的，由裁判长按照规定扣减相应分数，情节严重的将取消比赛资格，比赛成绩计0分。</w:t>
      </w:r>
    </w:p>
    <w:p>
      <w:pPr>
        <w:ind w:firstLine="480" w:firstLineChars="200"/>
        <w:rPr>
          <w:rFonts w:hint="eastAsia" w:ascii="仿宋_GB2312" w:hAnsi="Times New Roman" w:cs="Times New Roman"/>
        </w:rPr>
      </w:pPr>
      <w:r>
        <w:rPr>
          <w:rFonts w:hint="eastAsia" w:ascii="仿宋_GB2312" w:hAnsi="Times New Roman" w:cs="Times New Roman"/>
          <w:lang w:val="en-US" w:eastAsia="zh-CN"/>
        </w:rPr>
        <w:t>7</w:t>
      </w:r>
      <w:r>
        <w:rPr>
          <w:rFonts w:hint="eastAsia" w:ascii="仿宋_GB2312" w:hAnsi="Times New Roman" w:cs="Times New Roman"/>
        </w:rPr>
        <w:t>.赛项成绩解密后，在赛项执委会指定的地点，以纸质形式或通过QQ群向全体参赛队进行公布。成绩无异议后，在成绩发布会上予以宣布。</w:t>
      </w:r>
    </w:p>
    <w:p>
      <w:pPr>
        <w:ind w:firstLine="480" w:firstLineChars="200"/>
        <w:rPr>
          <w:rFonts w:hint="eastAsia" w:ascii="仿宋_GB2312" w:hAnsi="Times New Roman" w:cs="Times New Roman"/>
        </w:rPr>
      </w:pPr>
      <w:r>
        <w:rPr>
          <w:rFonts w:hint="eastAsia" w:ascii="仿宋_GB2312" w:hAnsi="Times New Roman" w:cs="Times New Roman"/>
          <w:lang w:val="en-US" w:eastAsia="zh-CN"/>
        </w:rPr>
        <w:t>8.本赛项</w:t>
      </w:r>
      <w:r>
        <w:rPr>
          <w:rFonts w:hint="default" w:ascii="仿宋_GB2312" w:hAnsi="Times New Roman" w:cs="Times New Roman"/>
          <w:lang w:val="en-US" w:eastAsia="zh-CN"/>
        </w:rPr>
        <w:t>奖项</w:t>
      </w:r>
      <w:r>
        <w:rPr>
          <w:rFonts w:hint="eastAsia" w:ascii="仿宋_GB2312" w:hAnsi="Times New Roman" w:cs="Times New Roman"/>
          <w:lang w:val="en-US" w:eastAsia="zh-CN"/>
        </w:rPr>
        <w:t>为</w:t>
      </w:r>
      <w:r>
        <w:rPr>
          <w:rFonts w:hint="default" w:ascii="仿宋_GB2312" w:hAnsi="Times New Roman" w:cs="Times New Roman"/>
          <w:lang w:val="en-US" w:eastAsia="zh-CN"/>
        </w:rPr>
        <w:t>团体</w:t>
      </w:r>
      <w:r>
        <w:rPr>
          <w:rFonts w:hint="eastAsia" w:ascii="仿宋_GB2312" w:hAnsi="Times New Roman" w:cs="Times New Roman"/>
          <w:lang w:val="en-US" w:eastAsia="zh-CN"/>
        </w:rPr>
        <w:t>赛</w:t>
      </w:r>
      <w:r>
        <w:rPr>
          <w:rFonts w:hint="default" w:ascii="仿宋_GB2312" w:hAnsi="Times New Roman" w:cs="Times New Roman"/>
          <w:lang w:val="en-US" w:eastAsia="zh-CN"/>
        </w:rPr>
        <w:t>。设奖比</w:t>
      </w:r>
      <w:r>
        <w:rPr>
          <w:rFonts w:hint="eastAsia" w:ascii="仿宋_GB2312" w:hAnsi="Times New Roman" w:cs="Times New Roman"/>
          <w:lang w:val="en-US" w:eastAsia="zh-CN"/>
        </w:rPr>
        <w:t>例</w:t>
      </w:r>
      <w:r>
        <w:rPr>
          <w:rFonts w:hint="default" w:ascii="仿宋_GB2312" w:hAnsi="Times New Roman" w:cs="Times New Roman"/>
          <w:lang w:val="en-US" w:eastAsia="zh-CN"/>
        </w:rPr>
        <w:t>为：以赛项实际参赛队总数为基数，一、二、三等奖获奖比例分别为 10%、20%、30%（小数点后四舍五入）。</w:t>
      </w:r>
      <w:bookmarkStart w:id="1" w:name="_GoBack"/>
      <w:bookmarkEnd w:id="1"/>
    </w:p>
    <w:p>
      <w:pPr>
        <w:pStyle w:val="4"/>
        <w:ind w:firstLine="480"/>
      </w:pPr>
      <w:r>
        <w:rPr>
          <w:rFonts w:hint="eastAsia"/>
        </w:rPr>
        <w:t>十二、赛场预案</w:t>
      </w:r>
    </w:p>
    <w:p>
      <w:pPr>
        <w:pStyle w:val="5"/>
        <w:ind w:firstLine="480"/>
      </w:pPr>
      <w:r>
        <w:rPr>
          <w:rFonts w:hint="eastAsia"/>
        </w:rPr>
        <w:t>（一）应急安全预案</w:t>
      </w:r>
    </w:p>
    <w:p>
      <w:pPr>
        <w:ind w:firstLine="480" w:firstLineChars="200"/>
        <w:rPr>
          <w:rFonts w:ascii="仿宋_GB2312"/>
        </w:rPr>
      </w:pPr>
      <w:r>
        <w:rPr>
          <w:rFonts w:hint="eastAsia" w:ascii="仿宋_GB2312"/>
        </w:rPr>
        <w:t>比赛期间发生意外事故，发现者应第一时间报告赛项执委会，同时采取措施避免事态扩大。赛项执委会应立即启动预案予以解决并报告大赛组委会。赛项出现重大安全问题可以停赛，是否停赛由大赛组委会决定。事后，赛项执委会应向大赛组委会报告详细情况。相关应急预案如下表所示。</w:t>
      </w:r>
    </w:p>
    <w:p>
      <w:pPr>
        <w:pStyle w:val="2"/>
        <w:ind w:firstLine="200"/>
        <w:jc w:val="center"/>
        <w:rPr>
          <w:rFonts w:ascii="仿宋_GB2312" w:eastAsia="仿宋_GB2312"/>
          <w:b/>
        </w:rPr>
      </w:pPr>
      <w:r>
        <w:rPr>
          <w:rFonts w:hint="eastAsia" w:ascii="仿宋_GB2312" w:eastAsia="仿宋_GB2312"/>
          <w:b/>
        </w:rPr>
        <w:t>表6  应急预案</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3177"/>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jc w:val="center"/>
        </w:trPr>
        <w:tc>
          <w:tcPr>
            <w:tcW w:w="1534" w:type="dxa"/>
            <w:vAlign w:val="center"/>
          </w:tcPr>
          <w:p>
            <w:pPr>
              <w:pStyle w:val="46"/>
              <w:rPr>
                <w:b/>
                <w:bCs/>
              </w:rPr>
            </w:pPr>
            <w:r>
              <w:rPr>
                <w:rFonts w:hint="eastAsia"/>
                <w:b/>
                <w:bCs/>
              </w:rPr>
              <w:t>突发事件</w:t>
            </w:r>
          </w:p>
        </w:tc>
        <w:tc>
          <w:tcPr>
            <w:tcW w:w="3177" w:type="dxa"/>
            <w:vAlign w:val="center"/>
          </w:tcPr>
          <w:p>
            <w:pPr>
              <w:pStyle w:val="46"/>
              <w:rPr>
                <w:b/>
                <w:bCs/>
              </w:rPr>
            </w:pPr>
            <w:r>
              <w:rPr>
                <w:rFonts w:hint="eastAsia"/>
                <w:b/>
                <w:bCs/>
              </w:rPr>
              <w:t>预防措施</w:t>
            </w:r>
          </w:p>
        </w:tc>
        <w:tc>
          <w:tcPr>
            <w:tcW w:w="4215" w:type="dxa"/>
            <w:vAlign w:val="center"/>
          </w:tcPr>
          <w:p>
            <w:pPr>
              <w:pStyle w:val="46"/>
              <w:rPr>
                <w:b/>
                <w:bCs/>
              </w:rPr>
            </w:pPr>
            <w:r>
              <w:rPr>
                <w:rFonts w:hint="eastAsia"/>
                <w:b/>
                <w:bCs/>
              </w:rPr>
              <w:t>事件发生后应对措施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534" w:type="dxa"/>
            <w:vAlign w:val="center"/>
          </w:tcPr>
          <w:p>
            <w:pPr>
              <w:pStyle w:val="46"/>
            </w:pPr>
            <w:r>
              <w:rPr>
                <w:rFonts w:hint="eastAsia"/>
              </w:rPr>
              <w:t>参赛选手发病或受伤</w:t>
            </w:r>
          </w:p>
        </w:tc>
        <w:tc>
          <w:tcPr>
            <w:tcW w:w="3177" w:type="dxa"/>
            <w:vAlign w:val="center"/>
          </w:tcPr>
          <w:p>
            <w:pPr>
              <w:pStyle w:val="46"/>
            </w:pPr>
            <w:r>
              <w:rPr>
                <w:rFonts w:hint="eastAsia"/>
              </w:rPr>
              <w:t>在各工位张贴安全操作说明</w:t>
            </w:r>
          </w:p>
        </w:tc>
        <w:tc>
          <w:tcPr>
            <w:tcW w:w="4215" w:type="dxa"/>
            <w:vAlign w:val="center"/>
          </w:tcPr>
          <w:p>
            <w:pPr>
              <w:pStyle w:val="46"/>
            </w:pPr>
            <w:r>
              <w:rPr>
                <w:rFonts w:hint="eastAsia"/>
              </w:rPr>
              <w:t>医务人员应采取紧急救护措施，及时进行救治，如病情或伤势严重，应及时送往最近医院进行救治。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534" w:type="dxa"/>
            <w:vAlign w:val="center"/>
          </w:tcPr>
          <w:p>
            <w:pPr>
              <w:pStyle w:val="46"/>
            </w:pPr>
            <w:r>
              <w:rPr>
                <w:rFonts w:hint="eastAsia"/>
              </w:rPr>
              <w:t>人员发生食物中毒</w:t>
            </w:r>
          </w:p>
        </w:tc>
        <w:tc>
          <w:tcPr>
            <w:tcW w:w="3177" w:type="dxa"/>
            <w:vAlign w:val="center"/>
          </w:tcPr>
          <w:p>
            <w:pPr>
              <w:pStyle w:val="46"/>
            </w:pPr>
            <w:r>
              <w:rPr>
                <w:rFonts w:hint="eastAsia"/>
              </w:rPr>
              <w:t>比赛期间指定的住宿/餐饮场地符合国家相关资质要求。并协调地方卫生部门做好检查工作。</w:t>
            </w:r>
          </w:p>
        </w:tc>
        <w:tc>
          <w:tcPr>
            <w:tcW w:w="4215" w:type="dxa"/>
            <w:vAlign w:val="center"/>
          </w:tcPr>
          <w:p>
            <w:pPr>
              <w:pStyle w:val="46"/>
            </w:pPr>
            <w:r>
              <w:rPr>
                <w:rFonts w:hint="eastAsia"/>
              </w:rPr>
              <w:t>立即组织对中毒人员进行救治，必要时送往最近医院进行检查治疗。同时对可疑的食品、饮水及其有关原料、工具设备和场所以及可能受污染的区域采取保留、控制措施，组织开展现场调查，迅速查明原因，赛执委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534" w:type="dxa"/>
            <w:vAlign w:val="center"/>
          </w:tcPr>
          <w:p>
            <w:pPr>
              <w:pStyle w:val="46"/>
            </w:pPr>
            <w:r>
              <w:rPr>
                <w:rFonts w:hint="eastAsia"/>
              </w:rPr>
              <w:t>设备损坏（如不能启动、反复重启等）</w:t>
            </w:r>
          </w:p>
        </w:tc>
        <w:tc>
          <w:tcPr>
            <w:tcW w:w="3177" w:type="dxa"/>
            <w:vAlign w:val="center"/>
          </w:tcPr>
          <w:p>
            <w:pPr>
              <w:pStyle w:val="46"/>
            </w:pPr>
            <w:r>
              <w:rPr>
                <w:rFonts w:hint="eastAsia"/>
              </w:rPr>
              <w:t>提前一天烤机，所有设备开机运行；现场放置备用机。</w:t>
            </w:r>
          </w:p>
        </w:tc>
        <w:tc>
          <w:tcPr>
            <w:tcW w:w="4215" w:type="dxa"/>
            <w:vAlign w:val="center"/>
          </w:tcPr>
          <w:p>
            <w:pPr>
              <w:pStyle w:val="46"/>
            </w:pPr>
            <w:r>
              <w:rPr>
                <w:rFonts w:hint="eastAsia"/>
              </w:rPr>
              <w:t>参赛选手举手示意后，监考人员计时，裁判确认后更换备用机，并由主裁判确定应计入延时时间。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34" w:type="dxa"/>
            <w:vAlign w:val="center"/>
          </w:tcPr>
          <w:p>
            <w:pPr>
              <w:pStyle w:val="46"/>
            </w:pPr>
            <w:r>
              <w:rPr>
                <w:rFonts w:hint="eastAsia"/>
              </w:rPr>
              <w:t>设备掉电</w:t>
            </w:r>
          </w:p>
        </w:tc>
        <w:tc>
          <w:tcPr>
            <w:tcW w:w="3177" w:type="dxa"/>
            <w:vAlign w:val="center"/>
          </w:tcPr>
          <w:p>
            <w:pPr>
              <w:pStyle w:val="46"/>
            </w:pPr>
            <w:r>
              <w:rPr>
                <w:rFonts w:hint="eastAsia"/>
              </w:rPr>
              <w:t>竞赛前技术人员及监考人员检查所有电源插头，确保牢固；电源线尽量绑扎在参赛选手碰不到的地方，如桌子后面等；竞赛前提醒参赛选手注意尽量不要碰到电源，配置文件要随时保存。</w:t>
            </w:r>
          </w:p>
        </w:tc>
        <w:tc>
          <w:tcPr>
            <w:tcW w:w="4215" w:type="dxa"/>
            <w:vAlign w:val="center"/>
          </w:tcPr>
          <w:p>
            <w:pPr>
              <w:pStyle w:val="46"/>
            </w:pPr>
            <w:r>
              <w:rPr>
                <w:rFonts w:hint="eastAsia"/>
              </w:rPr>
              <w:t>参赛选手举手示意后，监考人员计时，裁判确认后重启机器，并由主裁判确定应计入延时的时间。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34" w:type="dxa"/>
            <w:vAlign w:val="center"/>
          </w:tcPr>
          <w:p>
            <w:pPr>
              <w:pStyle w:val="46"/>
            </w:pPr>
            <w:r>
              <w:rPr>
                <w:rFonts w:hint="eastAsia"/>
              </w:rPr>
              <w:t>现场网络线缆槽或现场人员接触不到的地方故障</w:t>
            </w:r>
          </w:p>
        </w:tc>
        <w:tc>
          <w:tcPr>
            <w:tcW w:w="3177" w:type="dxa"/>
            <w:vAlign w:val="center"/>
          </w:tcPr>
          <w:p>
            <w:pPr>
              <w:pStyle w:val="46"/>
            </w:pPr>
            <w:r>
              <w:rPr>
                <w:rFonts w:hint="eastAsia"/>
              </w:rPr>
              <w:t>现场走线要规范，尽量走暗槽或现场人员接触不到的地方；对主要线路要在走线槽内留有备用线。</w:t>
            </w:r>
          </w:p>
        </w:tc>
        <w:tc>
          <w:tcPr>
            <w:tcW w:w="4215" w:type="dxa"/>
            <w:vAlign w:val="center"/>
          </w:tcPr>
          <w:p>
            <w:pPr>
              <w:pStyle w:val="46"/>
            </w:pPr>
            <w:r>
              <w:rPr>
                <w:rFonts w:hint="eastAsia"/>
              </w:rPr>
              <w:t>启用备用线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4" w:type="dxa"/>
            <w:vAlign w:val="center"/>
          </w:tcPr>
          <w:p>
            <w:pPr>
              <w:pStyle w:val="46"/>
            </w:pPr>
            <w:r>
              <w:rPr>
                <w:rFonts w:hint="eastAsia"/>
              </w:rPr>
              <w:t>竞赛场地停电</w:t>
            </w:r>
          </w:p>
        </w:tc>
        <w:tc>
          <w:tcPr>
            <w:tcW w:w="3177" w:type="dxa"/>
            <w:vAlign w:val="center"/>
          </w:tcPr>
          <w:p>
            <w:pPr>
              <w:pStyle w:val="46"/>
            </w:pPr>
            <w:r>
              <w:rPr>
                <w:rFonts w:hint="eastAsia"/>
              </w:rPr>
              <w:t>提前跟当地供电部门沟通，确保比赛期间电力供应</w:t>
            </w:r>
          </w:p>
        </w:tc>
        <w:tc>
          <w:tcPr>
            <w:tcW w:w="4215" w:type="dxa"/>
            <w:vAlign w:val="center"/>
          </w:tcPr>
          <w:p>
            <w:pPr>
              <w:pStyle w:val="46"/>
            </w:pPr>
            <w:r>
              <w:rPr>
                <w:rFonts w:hint="eastAsia"/>
              </w:rPr>
              <w:t>计算每个工位的总用电功率，每个赛位准备U</w:t>
            </w:r>
            <w:r>
              <w:t>PS</w:t>
            </w:r>
            <w:r>
              <w:rPr>
                <w:rFonts w:hint="eastAsia"/>
              </w:rPr>
              <w:t>应急电源，同时，准备应急发电车应急。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34" w:type="dxa"/>
            <w:vAlign w:val="center"/>
          </w:tcPr>
          <w:p>
            <w:pPr>
              <w:pStyle w:val="46"/>
            </w:pPr>
            <w:r>
              <w:rPr>
                <w:rFonts w:hint="eastAsia"/>
              </w:rPr>
              <w:t>赛场发生火灾</w:t>
            </w:r>
          </w:p>
        </w:tc>
        <w:tc>
          <w:tcPr>
            <w:tcW w:w="3177" w:type="dxa"/>
            <w:vAlign w:val="center"/>
          </w:tcPr>
          <w:p>
            <w:pPr>
              <w:pStyle w:val="46"/>
            </w:pPr>
            <w:r>
              <w:rPr>
                <w:rFonts w:hint="eastAsia"/>
              </w:rPr>
              <w:t>所有强电弱电安装符合国家规范，辅料采用防火材料。</w:t>
            </w:r>
          </w:p>
        </w:tc>
        <w:tc>
          <w:tcPr>
            <w:tcW w:w="4215" w:type="dxa"/>
            <w:vAlign w:val="center"/>
          </w:tcPr>
          <w:p>
            <w:pPr>
              <w:pStyle w:val="46"/>
            </w:pPr>
            <w:r>
              <w:rPr>
                <w:rFonts w:hint="eastAsia"/>
              </w:rPr>
              <w:t>赛场准备足量灭火器、灭火毯等。</w:t>
            </w:r>
          </w:p>
        </w:tc>
      </w:tr>
    </w:tbl>
    <w:p>
      <w:pPr>
        <w:pStyle w:val="5"/>
        <w:ind w:firstLine="480"/>
      </w:pPr>
      <w:r>
        <w:rPr>
          <w:rFonts w:hint="eastAsia"/>
        </w:rPr>
        <w:t>（二）处罚措施</w:t>
      </w:r>
    </w:p>
    <w:p>
      <w:pPr>
        <w:ind w:firstLine="480" w:firstLineChars="200"/>
        <w:rPr>
          <w:rFonts w:ascii="仿宋_GB2312"/>
        </w:rPr>
      </w:pPr>
      <w:r>
        <w:rPr>
          <w:rFonts w:hint="eastAsia" w:ascii="仿宋_GB2312"/>
        </w:rPr>
        <w:t>1.因参赛队伍原因造成重大安全事故的，取消其获奖资格。</w:t>
      </w:r>
    </w:p>
    <w:p>
      <w:pPr>
        <w:ind w:firstLine="480" w:firstLineChars="200"/>
        <w:rPr>
          <w:rFonts w:ascii="仿宋_GB2312"/>
        </w:rPr>
      </w:pPr>
      <w:r>
        <w:rPr>
          <w:rFonts w:hint="eastAsia" w:ascii="仿宋_GB2312"/>
        </w:rPr>
        <w:t>2</w:t>
      </w:r>
      <w:r>
        <w:rPr>
          <w:rFonts w:ascii="仿宋_GB2312"/>
        </w:rPr>
        <w:t>.</w:t>
      </w:r>
      <w:r>
        <w:rPr>
          <w:rFonts w:hint="eastAsia" w:ascii="仿宋_GB2312"/>
        </w:rPr>
        <w:t>参赛队伍有发生重大安全事故隐患，经赛场工作人员提示、警告无效的，可取消其继续比赛的资格。</w:t>
      </w:r>
    </w:p>
    <w:p>
      <w:pPr>
        <w:ind w:firstLine="480" w:firstLineChars="200"/>
        <w:rPr>
          <w:rFonts w:ascii="仿宋_GB2312"/>
        </w:rPr>
      </w:pPr>
      <w:r>
        <w:rPr>
          <w:rFonts w:hint="eastAsia" w:ascii="仿宋_GB2312"/>
        </w:rPr>
        <w:t>3.赛事工作人员违规的，按照相应的制度追究责任。情节恶劣并造成重大安全事故的，由司法机关追究相应法律责任。</w:t>
      </w:r>
    </w:p>
    <w:p>
      <w:pPr>
        <w:pStyle w:val="4"/>
        <w:ind w:firstLine="480"/>
      </w:pPr>
      <w:r>
        <w:rPr>
          <w:rFonts w:hint="eastAsia"/>
        </w:rPr>
        <w:t>十三、申诉与仲裁</w:t>
      </w:r>
    </w:p>
    <w:p>
      <w:pPr>
        <w:ind w:firstLine="480" w:firstLineChars="200"/>
        <w:rPr>
          <w:rFonts w:hint="eastAsia" w:ascii="仿宋_GB2312"/>
        </w:rPr>
      </w:pPr>
      <w:r>
        <w:rPr>
          <w:rFonts w:hint="eastAsia" w:ascii="仿宋_GB2312"/>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w:t>
      </w:r>
    </w:p>
    <w:p>
      <w:pPr>
        <w:ind w:left="0" w:leftChars="0" w:firstLine="0" w:firstLineChars="0"/>
        <w:rPr>
          <w:rFonts w:hint="eastAsia" w:ascii="仿宋_GB2312"/>
        </w:rPr>
      </w:pPr>
      <w:r>
        <w:rPr>
          <w:rFonts w:hint="eastAsia" w:ascii="仿宋_GB2312"/>
        </w:rPr>
        <w:t>员、申诉依据等进行充分、实事求是的叙述。非书面申诉不予受理。</w:t>
      </w:r>
    </w:p>
    <w:p>
      <w:pPr>
        <w:ind w:firstLine="480" w:firstLineChars="200"/>
        <w:rPr>
          <w:rFonts w:hint="eastAsia" w:ascii="仿宋_GB2312"/>
        </w:rPr>
      </w:pPr>
      <w:r>
        <w:rPr>
          <w:rFonts w:hint="eastAsia" w:ascii="仿宋_GB2312"/>
        </w:rPr>
        <w:t>提出申诉的时间应在竞赛结束后（选手赛场竞赛内容全部完成）2 小时内，超过时效不予受理。赛项仲裁工作组在接到申诉报告后的 2 小时内组织复议，并及时将复议结果以书面形式告知申诉方。申诉方对复议结果仍有异议，可由市领队向仲裁委员会提出申诉。仲裁委员会的仲裁结果为最终结果。申诉方可随时提出放弃申诉。</w:t>
      </w:r>
    </w:p>
    <w:p>
      <w:pPr>
        <w:pStyle w:val="4"/>
        <w:ind w:firstLine="480"/>
      </w:pPr>
      <w:r>
        <w:rPr>
          <w:rFonts w:hint="eastAsia"/>
        </w:rPr>
        <w:t>十四、竞赛观摩</w:t>
      </w:r>
    </w:p>
    <w:p>
      <w:pPr>
        <w:ind w:firstLine="480" w:firstLineChars="200"/>
        <w:rPr>
          <w:rFonts w:ascii="仿宋_GB2312"/>
        </w:rPr>
      </w:pPr>
      <w:r>
        <w:rPr>
          <w:rFonts w:hint="eastAsia" w:ascii="仿宋_GB2312"/>
        </w:rPr>
        <w:t>本赛项将会设计现场观摩区。</w:t>
      </w:r>
    </w:p>
    <w:p>
      <w:pPr>
        <w:ind w:firstLine="480" w:firstLineChars="200"/>
        <w:rPr>
          <w:rFonts w:ascii="仿宋_GB2312"/>
        </w:rPr>
      </w:pPr>
      <w:r>
        <w:rPr>
          <w:rFonts w:hint="eastAsia" w:ascii="仿宋_GB2312"/>
        </w:rPr>
        <w:t>竞赛环境依据竞赛需求和职业特点设计，在竞赛不被干扰的前提下安全开放部分赛场。现场观摩应遵守如下纪律：</w:t>
      </w:r>
    </w:p>
    <w:p>
      <w:pPr>
        <w:ind w:firstLine="480" w:firstLineChars="200"/>
        <w:rPr>
          <w:rFonts w:ascii="仿宋_GB2312"/>
        </w:rPr>
      </w:pPr>
      <w:r>
        <w:rPr>
          <w:rFonts w:hint="eastAsia" w:ascii="仿宋_GB2312"/>
        </w:rPr>
        <w:t>1.观摩人员需由赛项执委会批准，佩戴观摩证件在工作人员带领下沿指定路线、在指定区域内到现场观赛。</w:t>
      </w:r>
    </w:p>
    <w:p>
      <w:pPr>
        <w:ind w:firstLine="480" w:firstLineChars="200"/>
        <w:rPr>
          <w:rFonts w:ascii="仿宋_GB2312"/>
        </w:rPr>
      </w:pPr>
      <w:r>
        <w:rPr>
          <w:rFonts w:hint="eastAsia" w:ascii="仿宋_GB2312"/>
        </w:rPr>
        <w:t>2.文明观赛，不得大声喧哗，服从赛场工作人员的指挥，杜绝各种违反赛场秩序的不文明行为。</w:t>
      </w:r>
    </w:p>
    <w:p>
      <w:pPr>
        <w:ind w:firstLine="480" w:firstLineChars="200"/>
        <w:rPr>
          <w:rFonts w:ascii="仿宋_GB2312"/>
        </w:rPr>
      </w:pPr>
      <w:r>
        <w:rPr>
          <w:rFonts w:hint="eastAsia" w:ascii="仿宋_GB2312"/>
        </w:rPr>
        <w:t>3.观摩人员不得同参赛选手、裁判交流，不得传递信息，不得采录竞赛现场数据资料，不得影响比赛的正常进行。</w:t>
      </w:r>
    </w:p>
    <w:p>
      <w:pPr>
        <w:ind w:firstLine="480" w:firstLineChars="200"/>
        <w:rPr>
          <w:rFonts w:ascii="仿宋_GB2312"/>
        </w:rPr>
      </w:pPr>
      <w:r>
        <w:rPr>
          <w:rFonts w:hint="eastAsia" w:ascii="仿宋_GB2312"/>
        </w:rPr>
        <w:t>4.对于各种违反赛场秩序的不文明行为，工作人员有权予以提醒、制止。</w:t>
      </w:r>
    </w:p>
    <w:p>
      <w:pPr>
        <w:pStyle w:val="4"/>
        <w:ind w:firstLine="480"/>
      </w:pPr>
      <w:r>
        <w:rPr>
          <w:rFonts w:hint="eastAsia"/>
        </w:rPr>
        <w:t>十五、竞赛直播</w:t>
      </w:r>
    </w:p>
    <w:p>
      <w:pPr>
        <w:ind w:firstLine="480" w:firstLineChars="200"/>
        <w:rPr>
          <w:rFonts w:ascii="仿宋_GB2312"/>
        </w:rPr>
      </w:pPr>
      <w:r>
        <w:rPr>
          <w:rFonts w:hint="eastAsia" w:ascii="仿宋_GB2312"/>
        </w:rPr>
        <w:t>赛项竞赛时组织专人进行摄像，记录比赛全过程。竞赛时采用全过程录像与同步大屏直播。赛后邀请媒体采访优秀选手、优秀指导教师、裁判专家或企业人士，并留档作为赛事成果之一。</w:t>
      </w:r>
    </w:p>
    <w:p>
      <w:pPr>
        <w:pStyle w:val="4"/>
        <w:ind w:firstLine="480"/>
      </w:pPr>
      <w:r>
        <w:rPr>
          <w:rFonts w:hint="eastAsia"/>
        </w:rPr>
        <w:t>十六、竞赛须知</w:t>
      </w:r>
    </w:p>
    <w:p>
      <w:pPr>
        <w:pStyle w:val="5"/>
        <w:ind w:firstLine="480"/>
      </w:pPr>
      <w:r>
        <w:rPr>
          <w:rFonts w:hint="eastAsia"/>
        </w:rPr>
        <w:t>（一）参赛队须知</w:t>
      </w:r>
    </w:p>
    <w:p>
      <w:pPr>
        <w:ind w:firstLine="480" w:firstLineChars="200"/>
        <w:rPr>
          <w:rFonts w:ascii="仿宋_GB2312"/>
        </w:rPr>
      </w:pPr>
      <w:r>
        <w:rPr>
          <w:rFonts w:hint="eastAsia" w:ascii="仿宋_GB2312"/>
        </w:rPr>
        <w:t>1.参赛队名称：统一使用规定的地区代表队名称，不使用学校或其他组织、团体的名称；不接受跨校组队，同一学校相同项目报名参赛队不超过1支；</w:t>
      </w:r>
    </w:p>
    <w:p>
      <w:pPr>
        <w:ind w:firstLine="480" w:firstLineChars="200"/>
        <w:rPr>
          <w:rFonts w:ascii="仿宋_GB2312"/>
        </w:rPr>
      </w:pPr>
      <w:r>
        <w:rPr>
          <w:rFonts w:hint="eastAsia" w:ascii="仿宋_GB2312"/>
        </w:rPr>
        <w:t>2.参赛队组成：每支参赛队由3名符合参赛资格的学生组成，性别和年级不限，其中队长1名；</w:t>
      </w:r>
    </w:p>
    <w:p>
      <w:pPr>
        <w:ind w:firstLine="480" w:firstLineChars="200"/>
        <w:rPr>
          <w:rFonts w:ascii="仿宋_GB2312"/>
        </w:rPr>
      </w:pPr>
      <w:r>
        <w:rPr>
          <w:rFonts w:hint="eastAsia" w:ascii="仿宋_GB2312"/>
        </w:rPr>
        <w:t>3.指导教师：每支参赛队可配指导教师2名，指导教师经报名并通过资格审查后确定；</w:t>
      </w:r>
    </w:p>
    <w:p>
      <w:pPr>
        <w:ind w:firstLine="480" w:firstLineChars="200"/>
        <w:rPr>
          <w:rFonts w:ascii="仿宋_GB2312"/>
        </w:rPr>
      </w:pPr>
      <w:r>
        <w:rPr>
          <w:rFonts w:hint="eastAsia" w:ascii="仿宋_GB2312"/>
        </w:rPr>
        <w:t>4.参赛选手及指导教师在报名获得确认后，原则上不再更换。如在筹备过程中，参赛选手和指导教师因故不能参赛，须由所在市级教育主管部门于赛项开赛10个工作日之前出具书面说明，经大赛执委会办公室核实后予以更换。竞赛开始后，参赛队不得更换参赛选手，允许队员缺席比赛。不允许更换新的指导教师，允许指导教师缺席；</w:t>
      </w:r>
    </w:p>
    <w:p>
      <w:pPr>
        <w:ind w:firstLine="480" w:firstLineChars="200"/>
        <w:rPr>
          <w:rFonts w:ascii="仿宋_GB2312"/>
        </w:rPr>
      </w:pPr>
      <w:r>
        <w:rPr>
          <w:rFonts w:hint="eastAsia" w:ascii="仿宋_GB2312"/>
        </w:rPr>
        <w:t>5.各学校组织代表队时，须安排为参赛选手购买大赛期间的人身意外伤害保险。</w:t>
      </w:r>
    </w:p>
    <w:p>
      <w:pPr>
        <w:pStyle w:val="5"/>
        <w:ind w:firstLine="480"/>
      </w:pPr>
      <w:r>
        <w:rPr>
          <w:rFonts w:hint="eastAsia"/>
        </w:rPr>
        <w:t>（二）参赛领队须知</w:t>
      </w:r>
    </w:p>
    <w:p>
      <w:pPr>
        <w:ind w:firstLine="480" w:firstLineChars="200"/>
        <w:rPr>
          <w:rFonts w:ascii="仿宋_GB2312"/>
        </w:rPr>
      </w:pPr>
      <w:r>
        <w:rPr>
          <w:rFonts w:hint="eastAsia" w:ascii="仿宋_GB2312"/>
        </w:rPr>
        <w:t>1.赛项领队应该由参赛院校中层以上管理人员担任，熟悉赛项流程，具备管理与组织协调能力。</w:t>
      </w:r>
    </w:p>
    <w:p>
      <w:pPr>
        <w:ind w:firstLine="480" w:firstLineChars="200"/>
        <w:rPr>
          <w:rFonts w:ascii="仿宋_GB2312"/>
        </w:rPr>
      </w:pPr>
      <w:r>
        <w:rPr>
          <w:rFonts w:hint="eastAsia" w:ascii="仿宋_GB2312"/>
        </w:rPr>
        <w:t>2.领队应按时参加赛前领队会议，不得无故缺席。</w:t>
      </w:r>
    </w:p>
    <w:p>
      <w:pPr>
        <w:ind w:firstLine="480" w:firstLineChars="200"/>
        <w:rPr>
          <w:rFonts w:ascii="仿宋_GB2312"/>
        </w:rPr>
      </w:pPr>
      <w:r>
        <w:rPr>
          <w:rFonts w:hint="eastAsia" w:ascii="仿宋_GB2312"/>
        </w:rPr>
        <w:t>3.领队负责组织本省参赛队参加各项赛事活动。</w:t>
      </w:r>
    </w:p>
    <w:p>
      <w:pPr>
        <w:ind w:firstLine="480" w:firstLineChars="200"/>
        <w:rPr>
          <w:rFonts w:ascii="仿宋_GB2312"/>
        </w:rPr>
      </w:pPr>
      <w:r>
        <w:rPr>
          <w:rFonts w:hint="eastAsia" w:ascii="仿宋_GB2312"/>
        </w:rPr>
        <w:t>4.领队应积极做好本赛队的服务工作，协调参赛队与赛项组织机构、承办院校的对接。</w:t>
      </w:r>
    </w:p>
    <w:p>
      <w:pPr>
        <w:ind w:firstLine="480" w:firstLineChars="200"/>
        <w:rPr>
          <w:rFonts w:ascii="仿宋_GB2312"/>
        </w:rPr>
      </w:pPr>
      <w:r>
        <w:rPr>
          <w:rFonts w:hint="eastAsia" w:ascii="仿宋_GB2312"/>
        </w:rPr>
        <w:t>5.参赛队认为存在不符合竞赛规定的设备、工具、软件，有失公正的评判、奖励，以及工作人员的违规行为等情况时，须由领队向赛项仲裁组提交书面申诉材料。各参赛队领队应带头服从和执行申诉的最终仲裁结果，并要求指导教师、选手服从和执行。</w:t>
      </w:r>
    </w:p>
    <w:p>
      <w:pPr>
        <w:pStyle w:val="5"/>
        <w:ind w:firstLine="480"/>
      </w:pPr>
      <w:r>
        <w:rPr>
          <w:rFonts w:hint="eastAsia"/>
        </w:rPr>
        <w:t>（三）指导教师须知</w:t>
      </w:r>
    </w:p>
    <w:p>
      <w:pPr>
        <w:ind w:firstLine="480" w:firstLineChars="200"/>
        <w:rPr>
          <w:rFonts w:ascii="仿宋_GB2312"/>
        </w:rPr>
      </w:pPr>
      <w:r>
        <w:rPr>
          <w:rFonts w:hint="eastAsia" w:ascii="仿宋_GB2312"/>
        </w:rPr>
        <w:t>1.指导教师应该根据专业教学计划和赛项规程合理制定训练方案，认真指导选手训练，培养选手的综合职业能力和良好的职业素养，克服功利化思想，避免为赛而学、以赛代学。</w:t>
      </w:r>
    </w:p>
    <w:p>
      <w:pPr>
        <w:ind w:firstLine="480" w:firstLineChars="200"/>
        <w:rPr>
          <w:rFonts w:ascii="仿宋_GB2312"/>
        </w:rPr>
      </w:pPr>
      <w:r>
        <w:rPr>
          <w:rFonts w:hint="eastAsia" w:ascii="仿宋_GB2312"/>
        </w:rPr>
        <w:t>2.指导老师应及时查看大赛专用网页有关赛项的通知和内容，认真研究和掌握本赛项竞赛的规程、技术规范和赛场要求，指导选手做好赛前的一切技术准备和竞赛准备。</w:t>
      </w:r>
    </w:p>
    <w:p>
      <w:pPr>
        <w:ind w:firstLine="480" w:firstLineChars="200"/>
        <w:rPr>
          <w:rFonts w:ascii="仿宋_GB2312"/>
        </w:rPr>
      </w:pPr>
      <w:r>
        <w:rPr>
          <w:rFonts w:hint="eastAsia" w:ascii="仿宋_GB2312"/>
        </w:rPr>
        <w:t>3.指导教师应该根据赛项规程要求做好参赛选手保险办理工作，并积极做好选手的安全教育。</w:t>
      </w:r>
    </w:p>
    <w:p>
      <w:pPr>
        <w:ind w:firstLine="480" w:firstLineChars="200"/>
        <w:rPr>
          <w:rFonts w:ascii="仿宋_GB2312"/>
        </w:rPr>
      </w:pPr>
      <w:r>
        <w:rPr>
          <w:rFonts w:hint="eastAsia" w:ascii="仿宋_GB2312"/>
        </w:rPr>
        <w:t>4.指导教师参加赛项观摩等活动，不得违反赛项规定进入赛场，干扰比赛正常进行。</w:t>
      </w:r>
    </w:p>
    <w:p>
      <w:pPr>
        <w:pStyle w:val="5"/>
        <w:ind w:firstLine="480"/>
      </w:pPr>
      <w:r>
        <w:rPr>
          <w:rFonts w:hint="eastAsia"/>
        </w:rPr>
        <w:t>（四）参赛选手须知</w:t>
      </w:r>
    </w:p>
    <w:p>
      <w:pPr>
        <w:ind w:firstLine="480" w:firstLineChars="200"/>
        <w:rPr>
          <w:rFonts w:ascii="仿宋_GB2312"/>
        </w:rPr>
      </w:pPr>
      <w:r>
        <w:rPr>
          <w:rFonts w:hint="eastAsia" w:ascii="仿宋_GB2312"/>
        </w:rPr>
        <w:t>1.竞赛选手严格遵守赛场规章、操作规程和工艺准则，保证人身及设备安全，接受裁判员的监督和警示，文明竞赛。</w:t>
      </w:r>
    </w:p>
    <w:p>
      <w:pPr>
        <w:ind w:firstLine="480" w:firstLineChars="200"/>
        <w:rPr>
          <w:rFonts w:ascii="仿宋_GB2312"/>
        </w:rPr>
      </w:pPr>
      <w:r>
        <w:rPr>
          <w:rFonts w:hint="eastAsia" w:ascii="仿宋_GB2312"/>
        </w:rPr>
        <w:t>2.参赛选手在检录时需将身份证、学生证、参赛证等身份证件交由检录人员统一保管，不得带入场内。</w:t>
      </w:r>
    </w:p>
    <w:p>
      <w:pPr>
        <w:ind w:firstLine="480" w:firstLineChars="200"/>
        <w:rPr>
          <w:rFonts w:ascii="仿宋_GB2312"/>
        </w:rPr>
      </w:pPr>
      <w:r>
        <w:rPr>
          <w:rFonts w:hint="eastAsia" w:ascii="仿宋_GB2312"/>
        </w:rPr>
        <w:t>3.参赛选手进入赛场，不允许携带任何书籍和其他纸质资料（相关技术资料的电子文档由组委会提供），不允许携带通信工具和存储设备（如U盘）。竞赛统一提供计算机以及应用软件。</w:t>
      </w:r>
    </w:p>
    <w:p>
      <w:pPr>
        <w:ind w:firstLine="480" w:firstLineChars="200"/>
        <w:rPr>
          <w:rFonts w:ascii="仿宋_GB2312"/>
        </w:rPr>
      </w:pPr>
      <w:r>
        <w:rPr>
          <w:rFonts w:hint="eastAsia" w:ascii="仿宋_GB2312"/>
        </w:rPr>
        <w:t>4.各参赛队应在竞赛开始前一天规定的时间段进入赛场熟悉环境，但不得触碰任何比赛设备及材料。</w:t>
      </w:r>
    </w:p>
    <w:p>
      <w:pPr>
        <w:ind w:firstLine="480" w:firstLineChars="200"/>
        <w:rPr>
          <w:rFonts w:ascii="仿宋_GB2312"/>
        </w:rPr>
      </w:pPr>
      <w:r>
        <w:rPr>
          <w:rFonts w:hint="eastAsia" w:ascii="仿宋_GB2312"/>
        </w:rPr>
        <w:t>5.竞赛时，在收到开赛信号前不得启动操作，各参赛队自行决定分工、工作程序和时间安排，在指定赛位上完成竞赛项目，严禁作弊行为。</w:t>
      </w:r>
    </w:p>
    <w:p>
      <w:pPr>
        <w:ind w:firstLine="480" w:firstLineChars="200"/>
        <w:rPr>
          <w:rFonts w:ascii="仿宋_GB2312"/>
        </w:rPr>
      </w:pPr>
      <w:r>
        <w:rPr>
          <w:rFonts w:hint="eastAsia" w:ascii="仿宋_GB2312"/>
        </w:rPr>
        <w:t>6.竞赛过程中，因参赛选手严重操作失误或安全事故不能进行比赛的（例如因综合布线发生短路导致赛场断电的、造成设备不能正常工作的），现场裁判员有权中止该队比赛。</w:t>
      </w:r>
    </w:p>
    <w:p>
      <w:pPr>
        <w:ind w:firstLine="480" w:firstLineChars="200"/>
        <w:rPr>
          <w:rFonts w:ascii="仿宋_GB2312"/>
        </w:rPr>
      </w:pPr>
      <w:r>
        <w:rPr>
          <w:rFonts w:hint="eastAsia" w:ascii="仿宋_GB2312"/>
        </w:rPr>
        <w:t>7.在一天的比赛期间，选手在考试期间连续工作，食品、饮水等由赛场统一提供。选手休息、饮食或如厕时间均计算在比赛时间内。</w:t>
      </w:r>
    </w:p>
    <w:p>
      <w:pPr>
        <w:ind w:firstLine="480" w:firstLineChars="200"/>
        <w:rPr>
          <w:rFonts w:ascii="仿宋_GB2312"/>
        </w:rPr>
      </w:pPr>
      <w:r>
        <w:rPr>
          <w:rFonts w:hint="eastAsia" w:ascii="仿宋_GB2312"/>
        </w:rPr>
        <w:t>8.凡在竞赛期间提前离开的选手，当天不得返回赛场。</w:t>
      </w:r>
    </w:p>
    <w:p>
      <w:pPr>
        <w:ind w:firstLine="480" w:firstLineChars="200"/>
        <w:rPr>
          <w:rFonts w:ascii="仿宋_GB2312"/>
        </w:rPr>
      </w:pPr>
      <w:r>
        <w:rPr>
          <w:rFonts w:hint="eastAsia" w:ascii="仿宋_GB2312"/>
        </w:rPr>
        <w:t>9.为培养技能型人才的工作风格，在参赛期间，选手应当注意保持工作环境及设备摆放符合企业生产“5S”（即整理、整顿、清扫、清洁和素养）的原则，如果过于脏乱，裁判员有权酌情扣分。</w:t>
      </w:r>
    </w:p>
    <w:p>
      <w:pPr>
        <w:ind w:firstLine="480" w:firstLineChars="200"/>
        <w:rPr>
          <w:rFonts w:ascii="仿宋_GB2312"/>
        </w:rPr>
      </w:pPr>
      <w:r>
        <w:rPr>
          <w:rFonts w:hint="eastAsia" w:ascii="仿宋_GB2312"/>
        </w:rPr>
        <w:t>10.在比赛中如遇非人为因素造成的设备故障，经裁判确认后，可向裁判长申请补足排除故障的时间。</w:t>
      </w:r>
    </w:p>
    <w:p>
      <w:pPr>
        <w:ind w:firstLine="480" w:firstLineChars="200"/>
        <w:rPr>
          <w:rFonts w:ascii="仿宋_GB2312"/>
        </w:rPr>
      </w:pPr>
      <w:r>
        <w:rPr>
          <w:rFonts w:hint="eastAsia" w:ascii="仿宋_GB2312"/>
        </w:rPr>
        <w:t>11.参赛队欲提前结束比赛，应向现场裁判员举手示意，记录比赛终止时间。比赛终止后，不得再进行任何与比赛有关的操作。</w:t>
      </w:r>
    </w:p>
    <w:p>
      <w:pPr>
        <w:ind w:firstLine="480" w:firstLineChars="200"/>
        <w:rPr>
          <w:rFonts w:ascii="仿宋_GB2312"/>
        </w:rPr>
      </w:pPr>
      <w:r>
        <w:rPr>
          <w:rFonts w:hint="eastAsia" w:ascii="仿宋_GB2312"/>
        </w:rPr>
        <w:t>12.各竞赛队按照大赛要求和赛题要求提交竞赛成果，禁止在竞赛成果上做任何与竞赛无关的记号。</w:t>
      </w:r>
    </w:p>
    <w:p>
      <w:pPr>
        <w:ind w:firstLine="480" w:firstLineChars="200"/>
        <w:rPr>
          <w:rFonts w:ascii="仿宋_GB2312"/>
        </w:rPr>
      </w:pPr>
      <w:r>
        <w:rPr>
          <w:rFonts w:hint="eastAsia" w:ascii="仿宋_GB2312"/>
        </w:rPr>
        <w:t>13.竞赛操作结束后，参赛队要确认成功提交竞赛要求的文件，裁判员在比赛结果的规定位置做标记，并与参赛队一起签字确认。</w:t>
      </w:r>
    </w:p>
    <w:p>
      <w:pPr>
        <w:pStyle w:val="5"/>
        <w:ind w:firstLine="480"/>
      </w:pPr>
      <w:r>
        <w:rPr>
          <w:rFonts w:hint="eastAsia"/>
        </w:rPr>
        <w:t>（五）工作人员须知</w:t>
      </w:r>
    </w:p>
    <w:p>
      <w:pPr>
        <w:ind w:firstLine="480" w:firstLineChars="200"/>
        <w:rPr>
          <w:rFonts w:ascii="仿宋_GB2312"/>
        </w:rPr>
      </w:pPr>
      <w:r>
        <w:rPr>
          <w:rFonts w:hint="eastAsia" w:ascii="仿宋_GB2312"/>
        </w:rPr>
        <w:t>1.熟悉竞赛规则，服从管理，严格按照工作程序和有关规定办事。</w:t>
      </w:r>
    </w:p>
    <w:p>
      <w:pPr>
        <w:ind w:firstLine="480" w:firstLineChars="200"/>
        <w:rPr>
          <w:rFonts w:ascii="仿宋_GB2312"/>
        </w:rPr>
      </w:pPr>
      <w:r>
        <w:rPr>
          <w:rFonts w:hint="eastAsia" w:ascii="仿宋_GB2312"/>
        </w:rPr>
        <w:t>2.树立服务观念，本着一切为参赛选手着想的原则，以高度负责的精神、严肃认真的态度和严谨细致的作风，积极完成大赛工作任务。</w:t>
      </w:r>
    </w:p>
    <w:p>
      <w:pPr>
        <w:ind w:firstLine="480" w:firstLineChars="200"/>
        <w:rPr>
          <w:rFonts w:ascii="仿宋_GB2312"/>
        </w:rPr>
      </w:pPr>
      <w:r>
        <w:rPr>
          <w:rFonts w:hint="eastAsia" w:ascii="仿宋_GB2312"/>
        </w:rPr>
        <w:t>3.按规定统一着装、佩戴胸卡，文明礼貌，保持良好形象。</w:t>
      </w:r>
    </w:p>
    <w:p>
      <w:pPr>
        <w:ind w:firstLine="480" w:firstLineChars="200"/>
        <w:rPr>
          <w:rFonts w:ascii="仿宋_GB2312"/>
        </w:rPr>
      </w:pPr>
      <w:r>
        <w:rPr>
          <w:rFonts w:hint="eastAsia" w:ascii="仿宋_GB2312"/>
        </w:rPr>
        <w:t>4.坚守工作岗位，不迟到，不早退，不无故离岗，特殊情况向组长请假。</w:t>
      </w:r>
    </w:p>
    <w:p>
      <w:pPr>
        <w:ind w:firstLine="480" w:firstLineChars="200"/>
        <w:rPr>
          <w:rFonts w:ascii="仿宋_GB2312"/>
        </w:rPr>
      </w:pPr>
      <w:r>
        <w:rPr>
          <w:rFonts w:hint="eastAsia" w:ascii="仿宋_GB2312"/>
        </w:rPr>
        <w:t>5.遇安全突发事件，按照工作预案及时组织疏散，确保人员安全。</w:t>
      </w:r>
    </w:p>
    <w:p>
      <w:pPr>
        <w:ind w:firstLine="480" w:firstLineChars="200"/>
        <w:rPr>
          <w:rFonts w:ascii="仿宋_GB2312"/>
        </w:rPr>
      </w:pPr>
      <w:r>
        <w:rPr>
          <w:rFonts w:hint="eastAsia" w:ascii="仿宋_GB2312"/>
        </w:rPr>
        <w:t>6.未经同意不得擅自发布关于比赛的言论，不得私自接受采访。</w:t>
      </w:r>
    </w:p>
    <w:p>
      <w:pPr>
        <w:ind w:firstLine="480" w:firstLineChars="200"/>
        <w:rPr>
          <w:rFonts w:ascii="仿宋_GB2312"/>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18" w:bottom="1985" w:left="141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960"/>
      </w:pPr>
      <w:r>
        <w:separator/>
      </w:r>
    </w:p>
  </w:endnote>
  <w:endnote w:type="continuationSeparator" w:id="1">
    <w:p>
      <w:pPr>
        <w:spacing w:line="240" w:lineRule="auto"/>
        <w:ind w:firstLine="9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3D17C70-9F49-4050-AF38-A63FF5F62E7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91E6081E-AF07-4DA9-8A23-AC081EBFEFCB}"/>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404F370B-0F27-4878-A01A-5A7331D76E9F}"/>
  </w:font>
  <w:font w:name="微软雅黑">
    <w:panose1 w:val="020B0503020204020204"/>
    <w:charset w:val="86"/>
    <w:family w:val="swiss"/>
    <w:pitch w:val="default"/>
    <w:sig w:usb0="80000287" w:usb1="2ACF3C50" w:usb2="00000016" w:usb3="00000000" w:csb0="0004001F" w:csb1="00000000"/>
  </w:font>
  <w:font w:name="Heiti SC Light">
    <w:altName w:val="Calibri"/>
    <w:panose1 w:val="00000000000000000000"/>
    <w:charset w:val="50"/>
    <w:family w:val="auto"/>
    <w:pitch w:val="default"/>
    <w:sig w:usb0="00000000" w:usb1="00000000" w:usb2="00000010" w:usb3="00000000" w:csb0="003E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embedRegular r:id="rId4" w:fontKey="{206993A7-E38B-49C9-B690-08BEB2113929}"/>
  </w:font>
  <w:font w:name="Arial Narrow">
    <w:altName w:val="Arial"/>
    <w:panose1 w:val="020B0606020202030204"/>
    <w:charset w:val="00"/>
    <w:family w:val="swiss"/>
    <w:pitch w:val="default"/>
    <w:sig w:usb0="00000000" w:usb1="00000000" w:usb2="00000000" w:usb3="00000000" w:csb0="0000009F" w:csb1="00000000"/>
    <w:embedRegular r:id="rId5" w:fontKey="{6CE2E257-81FA-4794-B0E4-A65039C653A8}"/>
  </w:font>
  <w:font w:name="仿宋GB2312">
    <w:altName w:val="宋体"/>
    <w:panose1 w:val="00000000000000000000"/>
    <w:charset w:val="86"/>
    <w:family w:val="roman"/>
    <w:pitch w:val="default"/>
    <w:sig w:usb0="00000000" w:usb1="00000000" w:usb2="00000000" w:usb3="00000000" w:csb0="00000000" w:csb1="00000000"/>
    <w:embedRegular r:id="rId6" w:fontKey="{ACBEA1A2-FA26-4D49-B362-9C89B2EB120D}"/>
  </w:font>
  <w:font w:name="Segoe UI Symbol">
    <w:panose1 w:val="020B0502040204020203"/>
    <w:charset w:val="00"/>
    <w:family w:val="swiss"/>
    <w:pitch w:val="default"/>
    <w:sig w:usb0="800001E3" w:usb1="1200FFEF" w:usb2="00040000" w:usb3="04000000" w:csb0="00000001" w:csb1="40000000"/>
    <w:embedRegular r:id="rId7" w:fontKey="{7C5C7A4B-34CB-4946-92B7-6E60A8D18AC6}"/>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12707"/>
    </w:sdtPr>
    <w:sdtContent>
      <w:p>
        <w:pPr>
          <w:pStyle w:val="24"/>
          <w:ind w:firstLine="720"/>
          <w:jc w:val="center"/>
        </w:pPr>
        <w:r>
          <w:fldChar w:fldCharType="begin"/>
        </w:r>
        <w:r>
          <w:instrText xml:space="preserve">PAGE   \* MERGEFORMAT</w:instrText>
        </w:r>
        <w:r>
          <w:fldChar w:fldCharType="separate"/>
        </w:r>
        <w:r>
          <w:rPr>
            <w:lang w:val="zh-CN"/>
          </w:rPr>
          <w:t>-</w:t>
        </w:r>
        <w:r>
          <w:t xml:space="preserve"> 14 -</w:t>
        </w:r>
        <w:r>
          <w:fldChar w:fldCharType="end"/>
        </w:r>
      </w:p>
    </w:sdtContent>
  </w:sdt>
  <w:p>
    <w:pPr>
      <w:pStyle w:val="24"/>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960"/>
      </w:pPr>
      <w:r>
        <w:separator/>
      </w:r>
    </w:p>
  </w:footnote>
  <w:footnote w:type="continuationSeparator" w:id="1">
    <w:p>
      <w:pPr>
        <w:spacing w:line="360" w:lineRule="auto"/>
        <w:ind w:firstLine="9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173E6"/>
    <w:multiLevelType w:val="multilevel"/>
    <w:tmpl w:val="0DB173E6"/>
    <w:lvl w:ilvl="0" w:tentative="0">
      <w:start w:val="1"/>
      <w:numFmt w:val="bullet"/>
      <w:pStyle w:val="99"/>
      <w:lvlText w:val=""/>
      <w:lvlJc w:val="left"/>
      <w:pPr>
        <w:tabs>
          <w:tab w:val="left" w:pos="1260"/>
        </w:tabs>
        <w:ind w:left="1260" w:hanging="420"/>
      </w:pPr>
      <w:rPr>
        <w:rFonts w:hint="default" w:ascii="Wingdings" w:hAnsi="Wingdings"/>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5C2516"/>
    <w:multiLevelType w:val="multilevel"/>
    <w:tmpl w:val="2B5C2516"/>
    <w:lvl w:ilvl="0" w:tentative="0">
      <w:start w:val="1"/>
      <w:numFmt w:val="decimal"/>
      <w:suff w:val="nothing"/>
      <w:lvlText w:val="第%1章  "/>
      <w:lvlJc w:val="left"/>
      <w:pPr>
        <w:ind w:left="420" w:firstLine="0"/>
      </w:pPr>
      <w:rPr>
        <w:rFonts w:hint="default" w:ascii="Arial" w:hAnsi="Arial"/>
        <w:b/>
        <w:i w:val="0"/>
        <w:caps w:val="0"/>
        <w:strike w:val="0"/>
        <w:dstrike w:val="0"/>
        <w:vanish w:val="0"/>
        <w:color w:val="000000"/>
        <w:sz w:val="36"/>
        <w:vertAlign w:val="baseline"/>
      </w:rPr>
    </w:lvl>
    <w:lvl w:ilvl="1" w:tentative="0">
      <w:start w:val="1"/>
      <w:numFmt w:val="decimal"/>
      <w:suff w:val="nothing"/>
      <w:lvlText w:val="%1.%2  "/>
      <w:lvlJc w:val="left"/>
      <w:pPr>
        <w:ind w:left="420" w:firstLine="0"/>
      </w:pPr>
      <w:rPr>
        <w:rFonts w:hint="default" w:ascii="Arial" w:hAnsi="Arial"/>
        <w:b/>
        <w:i w:val="0"/>
        <w:caps w:val="0"/>
        <w:strike w:val="0"/>
        <w:dstrike w:val="0"/>
        <w:vanish w:val="0"/>
        <w:color w:val="000000"/>
        <w:sz w:val="30"/>
        <w:vertAlign w:val="baseline"/>
      </w:rPr>
    </w:lvl>
    <w:lvl w:ilvl="2" w:tentative="0">
      <w:start w:val="1"/>
      <w:numFmt w:val="decimal"/>
      <w:suff w:val="nothing"/>
      <w:lvlText w:val="%1.%2.%3  "/>
      <w:lvlJc w:val="left"/>
      <w:pPr>
        <w:ind w:left="420" w:firstLine="0"/>
      </w:pPr>
      <w:rPr>
        <w:rFonts w:hint="default" w:ascii="Arial" w:hAnsi="Arial"/>
        <w:b w:val="0"/>
        <w:i w:val="0"/>
        <w:caps w:val="0"/>
        <w:strike w:val="0"/>
        <w:dstrike w:val="0"/>
        <w:vanish w:val="0"/>
        <w:color w:val="000000"/>
        <w:sz w:val="24"/>
        <w:szCs w:val="24"/>
        <w:vertAlign w:val="baseline"/>
      </w:rPr>
    </w:lvl>
    <w:lvl w:ilvl="3" w:tentative="0">
      <w:start w:val="1"/>
      <w:numFmt w:val="decimal"/>
      <w:suff w:val="nothing"/>
      <w:lvlText w:val="%4. "/>
      <w:lvlJc w:val="left"/>
      <w:pPr>
        <w:ind w:left="2121" w:firstLine="0"/>
      </w:pPr>
      <w:rPr>
        <w:rFonts w:hint="default" w:ascii="Arial" w:hAnsi="Arial"/>
        <w:b w:val="0"/>
        <w:i w:val="0"/>
        <w:caps w:val="0"/>
        <w:strike w:val="0"/>
        <w:dstrike w:val="0"/>
        <w:vanish w:val="0"/>
        <w:color w:val="000000"/>
        <w:sz w:val="21"/>
        <w:vertAlign w:val="baseline"/>
      </w:rPr>
    </w:lvl>
    <w:lvl w:ilvl="4" w:tentative="0">
      <w:start w:val="1"/>
      <w:numFmt w:val="decimal"/>
      <w:lvlRestart w:val="0"/>
      <w:suff w:val="space"/>
      <w:lvlText w:val="图%1-%5"/>
      <w:lvlJc w:val="center"/>
      <w:pPr>
        <w:ind w:left="2121" w:firstLine="0"/>
      </w:pPr>
      <w:rPr>
        <w:rFonts w:hint="eastAsia"/>
      </w:rPr>
    </w:lvl>
    <w:lvl w:ilvl="5" w:tentative="0">
      <w:start w:val="1"/>
      <w:numFmt w:val="decimal"/>
      <w:lvlRestart w:val="0"/>
      <w:suff w:val="space"/>
      <w:lvlText w:val="表%1-%6"/>
      <w:lvlJc w:val="center"/>
      <w:pPr>
        <w:ind w:left="2121" w:firstLine="0"/>
      </w:pPr>
      <w:rPr>
        <w:rFonts w:hint="eastAsia"/>
      </w:rPr>
    </w:lvl>
    <w:lvl w:ilvl="6" w:tentative="0">
      <w:start w:val="1"/>
      <w:numFmt w:val="decimal"/>
      <w:lvlRestart w:val="3"/>
      <w:pStyle w:val="11"/>
      <w:lvlText w:val="第%7步："/>
      <w:lvlJc w:val="left"/>
      <w:pPr>
        <w:tabs>
          <w:tab w:val="left" w:pos="420"/>
        </w:tabs>
        <w:ind w:left="420" w:firstLine="0"/>
      </w:pPr>
      <w:rPr>
        <w:rFonts w:hint="eastAsia"/>
        <w:b/>
        <w:i w:val="0"/>
        <w:sz w:val="21"/>
        <w:szCs w:val="21"/>
      </w:rPr>
    </w:lvl>
    <w:lvl w:ilvl="7" w:tentative="0">
      <w:start w:val="1"/>
      <w:numFmt w:val="none"/>
      <w:lvlRestart w:val="0"/>
      <w:suff w:val="space"/>
      <w:lvlText w:val=""/>
      <w:lvlJc w:val="left"/>
      <w:pPr>
        <w:ind w:left="987" w:firstLine="1134"/>
      </w:pPr>
      <w:rPr>
        <w:rFonts w:hint="eastAsia"/>
      </w:rPr>
    </w:lvl>
    <w:lvl w:ilvl="8" w:tentative="0">
      <w:start w:val="1"/>
      <w:numFmt w:val="none"/>
      <w:lvlRestart w:val="0"/>
      <w:suff w:val="space"/>
      <w:lvlText w:val=""/>
      <w:lvlJc w:val="left"/>
      <w:pPr>
        <w:ind w:left="987" w:firstLine="1134"/>
      </w:pPr>
      <w:rPr>
        <w:rFonts w:hint="eastAsia"/>
      </w:rPr>
    </w:lvl>
  </w:abstractNum>
  <w:abstractNum w:abstractNumId="2">
    <w:nsid w:val="48A47A88"/>
    <w:multiLevelType w:val="multilevel"/>
    <w:tmpl w:val="48A47A88"/>
    <w:lvl w:ilvl="0" w:tentative="0">
      <w:start w:val="1"/>
      <w:numFmt w:val="decimal"/>
      <w:pStyle w:val="98"/>
      <w:lvlText w:val="%1)"/>
      <w:lvlJc w:val="left"/>
      <w:pPr>
        <w:tabs>
          <w:tab w:val="left" w:pos="845"/>
        </w:tabs>
        <w:ind w:left="845" w:hanging="425"/>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B1B3C98"/>
    <w:multiLevelType w:val="multilevel"/>
    <w:tmpl w:val="6B1B3C98"/>
    <w:lvl w:ilvl="0" w:tentative="0">
      <w:start w:val="1"/>
      <w:numFmt w:val="decimal"/>
      <w:pStyle w:val="81"/>
      <w:lvlText w:val="%1."/>
      <w:lvlJc w:val="left"/>
      <w:pPr>
        <w:tabs>
          <w:tab w:val="left" w:pos="840"/>
        </w:tabs>
        <w:ind w:left="84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E997D07"/>
    <w:multiLevelType w:val="multilevel"/>
    <w:tmpl w:val="7E997D07"/>
    <w:lvl w:ilvl="0" w:tentative="0">
      <w:start w:val="1"/>
      <w:numFmt w:val="bullet"/>
      <w:pStyle w:val="97"/>
      <w:lvlText w:val=""/>
      <w:lvlJc w:val="left"/>
      <w:pPr>
        <w:tabs>
          <w:tab w:val="left" w:pos="1657"/>
        </w:tabs>
        <w:ind w:left="1657" w:hanging="420"/>
      </w:pPr>
      <w:rPr>
        <w:rFonts w:hint="default" w:ascii="Wingdings" w:hAnsi="Wingdings"/>
      </w:rPr>
    </w:lvl>
    <w:lvl w:ilvl="1" w:tentative="0">
      <w:start w:val="1"/>
      <w:numFmt w:val="bullet"/>
      <w:lvlText w:val=""/>
      <w:lvlJc w:val="left"/>
      <w:pPr>
        <w:tabs>
          <w:tab w:val="left" w:pos="1657"/>
        </w:tabs>
        <w:ind w:left="1657" w:hanging="420"/>
      </w:pPr>
      <w:rPr>
        <w:rFonts w:hint="default" w:ascii="Wingdings" w:hAnsi="Wingdings"/>
      </w:rPr>
    </w:lvl>
    <w:lvl w:ilvl="2" w:tentative="0">
      <w:start w:val="1"/>
      <w:numFmt w:val="bullet"/>
      <w:lvlText w:val=""/>
      <w:lvlJc w:val="left"/>
      <w:pPr>
        <w:tabs>
          <w:tab w:val="left" w:pos="2077"/>
        </w:tabs>
        <w:ind w:left="2077" w:hanging="420"/>
      </w:pPr>
      <w:rPr>
        <w:rFonts w:hint="default" w:ascii="Wingdings" w:hAnsi="Wingdings"/>
      </w:rPr>
    </w:lvl>
    <w:lvl w:ilvl="3" w:tentative="0">
      <w:start w:val="1"/>
      <w:numFmt w:val="bullet"/>
      <w:lvlText w:val=""/>
      <w:lvlJc w:val="left"/>
      <w:pPr>
        <w:tabs>
          <w:tab w:val="left" w:pos="2497"/>
        </w:tabs>
        <w:ind w:left="2497" w:hanging="420"/>
      </w:pPr>
      <w:rPr>
        <w:rFonts w:hint="default" w:ascii="Wingdings" w:hAnsi="Wingdings"/>
      </w:rPr>
    </w:lvl>
    <w:lvl w:ilvl="4" w:tentative="0">
      <w:start w:val="1"/>
      <w:numFmt w:val="bullet"/>
      <w:lvlText w:val=""/>
      <w:lvlJc w:val="left"/>
      <w:pPr>
        <w:tabs>
          <w:tab w:val="left" w:pos="2917"/>
        </w:tabs>
        <w:ind w:left="2917" w:hanging="420"/>
      </w:pPr>
      <w:rPr>
        <w:rFonts w:hint="default" w:ascii="Wingdings" w:hAnsi="Wingdings"/>
      </w:rPr>
    </w:lvl>
    <w:lvl w:ilvl="5" w:tentative="0">
      <w:start w:val="1"/>
      <w:numFmt w:val="bullet"/>
      <w:lvlText w:val=""/>
      <w:lvlJc w:val="left"/>
      <w:pPr>
        <w:tabs>
          <w:tab w:val="left" w:pos="3337"/>
        </w:tabs>
        <w:ind w:left="3337" w:hanging="420"/>
      </w:pPr>
      <w:rPr>
        <w:rFonts w:hint="default" w:ascii="Wingdings" w:hAnsi="Wingdings"/>
      </w:rPr>
    </w:lvl>
    <w:lvl w:ilvl="6" w:tentative="0">
      <w:start w:val="1"/>
      <w:numFmt w:val="bullet"/>
      <w:lvlText w:val=""/>
      <w:lvlJc w:val="left"/>
      <w:pPr>
        <w:tabs>
          <w:tab w:val="left" w:pos="3757"/>
        </w:tabs>
        <w:ind w:left="3757" w:hanging="420"/>
      </w:pPr>
      <w:rPr>
        <w:rFonts w:hint="default" w:ascii="Wingdings" w:hAnsi="Wingdings"/>
      </w:rPr>
    </w:lvl>
    <w:lvl w:ilvl="7" w:tentative="0">
      <w:start w:val="1"/>
      <w:numFmt w:val="bullet"/>
      <w:lvlText w:val=""/>
      <w:lvlJc w:val="left"/>
      <w:pPr>
        <w:tabs>
          <w:tab w:val="left" w:pos="4177"/>
        </w:tabs>
        <w:ind w:left="4177" w:hanging="420"/>
      </w:pPr>
      <w:rPr>
        <w:rFonts w:hint="default" w:ascii="Wingdings" w:hAnsi="Wingdings"/>
      </w:rPr>
    </w:lvl>
    <w:lvl w:ilvl="8" w:tentative="0">
      <w:start w:val="1"/>
      <w:numFmt w:val="bullet"/>
      <w:lvlText w:val=""/>
      <w:lvlJc w:val="left"/>
      <w:pPr>
        <w:tabs>
          <w:tab w:val="left" w:pos="4597"/>
        </w:tabs>
        <w:ind w:left="4597" w:hanging="420"/>
      </w:pPr>
      <w:rPr>
        <w:rFonts w:hint="default" w:ascii="Wingdings" w:hAnsi="Wingdings"/>
      </w:rPr>
    </w:lvl>
  </w:abstractNum>
  <w:abstractNum w:abstractNumId="5">
    <w:nsid w:val="7F761F0B"/>
    <w:multiLevelType w:val="multilevel"/>
    <w:tmpl w:val="7F761F0B"/>
    <w:lvl w:ilvl="0" w:tentative="0">
      <w:start w:val="1"/>
      <w:numFmt w:val="bullet"/>
      <w:pStyle w:val="75"/>
      <w:lvlText w:val=""/>
      <w:lvlJc w:val="left"/>
      <w:pPr>
        <w:tabs>
          <w:tab w:val="left" w:pos="840"/>
        </w:tabs>
        <w:ind w:left="84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iNGEzMzYyODM1MTMwZDY3MjYyNGJjNjUxNmJlZTAifQ=="/>
  </w:docVars>
  <w:rsids>
    <w:rsidRoot w:val="008F03E6"/>
    <w:rsid w:val="00000E2D"/>
    <w:rsid w:val="00007DC8"/>
    <w:rsid w:val="00011544"/>
    <w:rsid w:val="00013068"/>
    <w:rsid w:val="00013353"/>
    <w:rsid w:val="0002026E"/>
    <w:rsid w:val="00022730"/>
    <w:rsid w:val="000314A6"/>
    <w:rsid w:val="00031B6C"/>
    <w:rsid w:val="00035C82"/>
    <w:rsid w:val="0004082C"/>
    <w:rsid w:val="00040E1D"/>
    <w:rsid w:val="00041727"/>
    <w:rsid w:val="00044D6F"/>
    <w:rsid w:val="00056378"/>
    <w:rsid w:val="00060567"/>
    <w:rsid w:val="00061C05"/>
    <w:rsid w:val="0006548D"/>
    <w:rsid w:val="000838DE"/>
    <w:rsid w:val="000929BE"/>
    <w:rsid w:val="00095E56"/>
    <w:rsid w:val="000A06EE"/>
    <w:rsid w:val="000A147D"/>
    <w:rsid w:val="000A6B62"/>
    <w:rsid w:val="000B4056"/>
    <w:rsid w:val="000B5D19"/>
    <w:rsid w:val="000D0216"/>
    <w:rsid w:val="000D2AD1"/>
    <w:rsid w:val="000E3C80"/>
    <w:rsid w:val="000E7E7B"/>
    <w:rsid w:val="000F47B1"/>
    <w:rsid w:val="000F57AB"/>
    <w:rsid w:val="000F6A4C"/>
    <w:rsid w:val="000F6AE8"/>
    <w:rsid w:val="000F7892"/>
    <w:rsid w:val="00100731"/>
    <w:rsid w:val="001019BF"/>
    <w:rsid w:val="00102427"/>
    <w:rsid w:val="00104758"/>
    <w:rsid w:val="0011074A"/>
    <w:rsid w:val="00110E6F"/>
    <w:rsid w:val="0011307F"/>
    <w:rsid w:val="00113624"/>
    <w:rsid w:val="00115432"/>
    <w:rsid w:val="00117C5F"/>
    <w:rsid w:val="001256CC"/>
    <w:rsid w:val="0012631F"/>
    <w:rsid w:val="001334B5"/>
    <w:rsid w:val="00140C58"/>
    <w:rsid w:val="00140CE0"/>
    <w:rsid w:val="001425FC"/>
    <w:rsid w:val="00145D46"/>
    <w:rsid w:val="0015012D"/>
    <w:rsid w:val="00151D9F"/>
    <w:rsid w:val="001568EA"/>
    <w:rsid w:val="00170B53"/>
    <w:rsid w:val="00171CBB"/>
    <w:rsid w:val="00173A4F"/>
    <w:rsid w:val="00173C9C"/>
    <w:rsid w:val="001760A1"/>
    <w:rsid w:val="001809FE"/>
    <w:rsid w:val="001848FA"/>
    <w:rsid w:val="001906E2"/>
    <w:rsid w:val="001A0104"/>
    <w:rsid w:val="001A0234"/>
    <w:rsid w:val="001A44BF"/>
    <w:rsid w:val="001A53F0"/>
    <w:rsid w:val="001A72FE"/>
    <w:rsid w:val="001A7D1E"/>
    <w:rsid w:val="001B0A04"/>
    <w:rsid w:val="001B2F97"/>
    <w:rsid w:val="001B3133"/>
    <w:rsid w:val="001B3D1F"/>
    <w:rsid w:val="001D1C76"/>
    <w:rsid w:val="001E08B3"/>
    <w:rsid w:val="001E65CA"/>
    <w:rsid w:val="001F2906"/>
    <w:rsid w:val="001F62F0"/>
    <w:rsid w:val="001F6852"/>
    <w:rsid w:val="002003AE"/>
    <w:rsid w:val="00200A38"/>
    <w:rsid w:val="00201106"/>
    <w:rsid w:val="002037F1"/>
    <w:rsid w:val="002079EA"/>
    <w:rsid w:val="00214ADA"/>
    <w:rsid w:val="00222F12"/>
    <w:rsid w:val="00223F0B"/>
    <w:rsid w:val="00226795"/>
    <w:rsid w:val="002268BC"/>
    <w:rsid w:val="00226AD8"/>
    <w:rsid w:val="00227723"/>
    <w:rsid w:val="00227B4D"/>
    <w:rsid w:val="00230C01"/>
    <w:rsid w:val="0023313A"/>
    <w:rsid w:val="00233D97"/>
    <w:rsid w:val="0023611A"/>
    <w:rsid w:val="00236BB2"/>
    <w:rsid w:val="00240E11"/>
    <w:rsid w:val="00241B0F"/>
    <w:rsid w:val="00255903"/>
    <w:rsid w:val="00255E9F"/>
    <w:rsid w:val="002564A5"/>
    <w:rsid w:val="0025752E"/>
    <w:rsid w:val="00260900"/>
    <w:rsid w:val="00264616"/>
    <w:rsid w:val="00265BF9"/>
    <w:rsid w:val="0027033D"/>
    <w:rsid w:val="00271A13"/>
    <w:rsid w:val="002723E7"/>
    <w:rsid w:val="00275D41"/>
    <w:rsid w:val="002823F9"/>
    <w:rsid w:val="0028748F"/>
    <w:rsid w:val="0029134A"/>
    <w:rsid w:val="00294741"/>
    <w:rsid w:val="00296079"/>
    <w:rsid w:val="002A314A"/>
    <w:rsid w:val="002A4D09"/>
    <w:rsid w:val="002A7D04"/>
    <w:rsid w:val="002B10E5"/>
    <w:rsid w:val="002B3005"/>
    <w:rsid w:val="002B3905"/>
    <w:rsid w:val="002B62FE"/>
    <w:rsid w:val="002C17B0"/>
    <w:rsid w:val="002C7E2C"/>
    <w:rsid w:val="002D2D07"/>
    <w:rsid w:val="002D308C"/>
    <w:rsid w:val="002D3A05"/>
    <w:rsid w:val="002D5278"/>
    <w:rsid w:val="002D6AD8"/>
    <w:rsid w:val="002E0580"/>
    <w:rsid w:val="002E1AE0"/>
    <w:rsid w:val="002E3299"/>
    <w:rsid w:val="002E3F38"/>
    <w:rsid w:val="002E627D"/>
    <w:rsid w:val="002F2D1D"/>
    <w:rsid w:val="002F6FB0"/>
    <w:rsid w:val="002F6FBC"/>
    <w:rsid w:val="002F78F0"/>
    <w:rsid w:val="003000E0"/>
    <w:rsid w:val="00301D9B"/>
    <w:rsid w:val="00302B88"/>
    <w:rsid w:val="00303C9F"/>
    <w:rsid w:val="003078EC"/>
    <w:rsid w:val="00311CBF"/>
    <w:rsid w:val="0031383D"/>
    <w:rsid w:val="00315281"/>
    <w:rsid w:val="00324EF0"/>
    <w:rsid w:val="003250A2"/>
    <w:rsid w:val="003256F2"/>
    <w:rsid w:val="00330C20"/>
    <w:rsid w:val="003414AE"/>
    <w:rsid w:val="00346866"/>
    <w:rsid w:val="00347D89"/>
    <w:rsid w:val="00350494"/>
    <w:rsid w:val="0037131E"/>
    <w:rsid w:val="00377424"/>
    <w:rsid w:val="003804BE"/>
    <w:rsid w:val="0038121D"/>
    <w:rsid w:val="00382518"/>
    <w:rsid w:val="00383717"/>
    <w:rsid w:val="00387F56"/>
    <w:rsid w:val="00390F93"/>
    <w:rsid w:val="003973BC"/>
    <w:rsid w:val="003A138D"/>
    <w:rsid w:val="003A3E46"/>
    <w:rsid w:val="003B1788"/>
    <w:rsid w:val="003C16E5"/>
    <w:rsid w:val="003C3447"/>
    <w:rsid w:val="003C4266"/>
    <w:rsid w:val="003D0537"/>
    <w:rsid w:val="003D245D"/>
    <w:rsid w:val="003D3AD1"/>
    <w:rsid w:val="003D5E56"/>
    <w:rsid w:val="003E0898"/>
    <w:rsid w:val="003E35B0"/>
    <w:rsid w:val="003E36FC"/>
    <w:rsid w:val="003E4B74"/>
    <w:rsid w:val="003E5999"/>
    <w:rsid w:val="003F2060"/>
    <w:rsid w:val="003F302D"/>
    <w:rsid w:val="003F45F2"/>
    <w:rsid w:val="003F74AD"/>
    <w:rsid w:val="0040140F"/>
    <w:rsid w:val="004034C7"/>
    <w:rsid w:val="004157C1"/>
    <w:rsid w:val="0041756B"/>
    <w:rsid w:val="00423C80"/>
    <w:rsid w:val="004341FB"/>
    <w:rsid w:val="004351AA"/>
    <w:rsid w:val="0044186A"/>
    <w:rsid w:val="0044268B"/>
    <w:rsid w:val="00453665"/>
    <w:rsid w:val="00455B3B"/>
    <w:rsid w:val="0045658F"/>
    <w:rsid w:val="00460A6E"/>
    <w:rsid w:val="004713B3"/>
    <w:rsid w:val="00472E3D"/>
    <w:rsid w:val="00474DC2"/>
    <w:rsid w:val="004772A0"/>
    <w:rsid w:val="0048724C"/>
    <w:rsid w:val="004904EF"/>
    <w:rsid w:val="00490DC3"/>
    <w:rsid w:val="0049469E"/>
    <w:rsid w:val="00494AC7"/>
    <w:rsid w:val="004972F9"/>
    <w:rsid w:val="0049796C"/>
    <w:rsid w:val="004A16E6"/>
    <w:rsid w:val="004A39D9"/>
    <w:rsid w:val="004A558B"/>
    <w:rsid w:val="004B0EAA"/>
    <w:rsid w:val="004B1B9C"/>
    <w:rsid w:val="004B2ADD"/>
    <w:rsid w:val="004B3199"/>
    <w:rsid w:val="004B3472"/>
    <w:rsid w:val="004B6B82"/>
    <w:rsid w:val="004C0F6C"/>
    <w:rsid w:val="004C5B72"/>
    <w:rsid w:val="004C7915"/>
    <w:rsid w:val="004D1E07"/>
    <w:rsid w:val="004D21A2"/>
    <w:rsid w:val="004E09AB"/>
    <w:rsid w:val="004E2E06"/>
    <w:rsid w:val="004E309F"/>
    <w:rsid w:val="004E535F"/>
    <w:rsid w:val="004E5FD1"/>
    <w:rsid w:val="004F1991"/>
    <w:rsid w:val="004F21A9"/>
    <w:rsid w:val="004F6A18"/>
    <w:rsid w:val="004F7FE5"/>
    <w:rsid w:val="005037D2"/>
    <w:rsid w:val="005057B3"/>
    <w:rsid w:val="0051307B"/>
    <w:rsid w:val="00514391"/>
    <w:rsid w:val="00520EB7"/>
    <w:rsid w:val="005279DF"/>
    <w:rsid w:val="0053508E"/>
    <w:rsid w:val="005350CF"/>
    <w:rsid w:val="00537524"/>
    <w:rsid w:val="005403A3"/>
    <w:rsid w:val="00541AF1"/>
    <w:rsid w:val="00541FCB"/>
    <w:rsid w:val="00546B5D"/>
    <w:rsid w:val="00551033"/>
    <w:rsid w:val="0055222A"/>
    <w:rsid w:val="00552360"/>
    <w:rsid w:val="0055415E"/>
    <w:rsid w:val="00557E3E"/>
    <w:rsid w:val="00560103"/>
    <w:rsid w:val="00560984"/>
    <w:rsid w:val="005611D0"/>
    <w:rsid w:val="005618E3"/>
    <w:rsid w:val="00561942"/>
    <w:rsid w:val="00563BDA"/>
    <w:rsid w:val="00566158"/>
    <w:rsid w:val="005730F0"/>
    <w:rsid w:val="00573456"/>
    <w:rsid w:val="00581CF1"/>
    <w:rsid w:val="00587AB3"/>
    <w:rsid w:val="0059486C"/>
    <w:rsid w:val="00595B08"/>
    <w:rsid w:val="00596830"/>
    <w:rsid w:val="005A40A9"/>
    <w:rsid w:val="005A5A58"/>
    <w:rsid w:val="005A5BBE"/>
    <w:rsid w:val="005A5F61"/>
    <w:rsid w:val="005A7C29"/>
    <w:rsid w:val="005B329B"/>
    <w:rsid w:val="005B3F49"/>
    <w:rsid w:val="005B4388"/>
    <w:rsid w:val="005B7317"/>
    <w:rsid w:val="005C016A"/>
    <w:rsid w:val="005C0F3F"/>
    <w:rsid w:val="005C2FD5"/>
    <w:rsid w:val="005C711E"/>
    <w:rsid w:val="005E062F"/>
    <w:rsid w:val="005E5F1C"/>
    <w:rsid w:val="005F24A5"/>
    <w:rsid w:val="005F35D5"/>
    <w:rsid w:val="00601550"/>
    <w:rsid w:val="0060234F"/>
    <w:rsid w:val="006102D1"/>
    <w:rsid w:val="00611640"/>
    <w:rsid w:val="0061418B"/>
    <w:rsid w:val="0062581B"/>
    <w:rsid w:val="006258BA"/>
    <w:rsid w:val="00627958"/>
    <w:rsid w:val="00630E17"/>
    <w:rsid w:val="006368AF"/>
    <w:rsid w:val="00651AB1"/>
    <w:rsid w:val="006533F5"/>
    <w:rsid w:val="00653817"/>
    <w:rsid w:val="006578ED"/>
    <w:rsid w:val="006631B7"/>
    <w:rsid w:val="006632FC"/>
    <w:rsid w:val="00663568"/>
    <w:rsid w:val="006641C3"/>
    <w:rsid w:val="00664963"/>
    <w:rsid w:val="00670353"/>
    <w:rsid w:val="006732A4"/>
    <w:rsid w:val="00675C48"/>
    <w:rsid w:val="00680CCE"/>
    <w:rsid w:val="006834EF"/>
    <w:rsid w:val="00683E59"/>
    <w:rsid w:val="006862F8"/>
    <w:rsid w:val="00687C2F"/>
    <w:rsid w:val="00693D65"/>
    <w:rsid w:val="006A1BE5"/>
    <w:rsid w:val="006A4C6A"/>
    <w:rsid w:val="006A5185"/>
    <w:rsid w:val="006B5808"/>
    <w:rsid w:val="006C0699"/>
    <w:rsid w:val="006D2AE5"/>
    <w:rsid w:val="006D3F09"/>
    <w:rsid w:val="006D5930"/>
    <w:rsid w:val="006D5CE4"/>
    <w:rsid w:val="006D5F15"/>
    <w:rsid w:val="006E0D8A"/>
    <w:rsid w:val="006E6D13"/>
    <w:rsid w:val="006F13B6"/>
    <w:rsid w:val="006F2D2B"/>
    <w:rsid w:val="006F3D1D"/>
    <w:rsid w:val="006F3EDD"/>
    <w:rsid w:val="00701E87"/>
    <w:rsid w:val="00702532"/>
    <w:rsid w:val="00704F78"/>
    <w:rsid w:val="00705803"/>
    <w:rsid w:val="00706FA1"/>
    <w:rsid w:val="00712F1A"/>
    <w:rsid w:val="007339E2"/>
    <w:rsid w:val="00741BC9"/>
    <w:rsid w:val="00742CBA"/>
    <w:rsid w:val="0074354C"/>
    <w:rsid w:val="007462C8"/>
    <w:rsid w:val="00747696"/>
    <w:rsid w:val="00750653"/>
    <w:rsid w:val="007519DC"/>
    <w:rsid w:val="00752B0C"/>
    <w:rsid w:val="0075540A"/>
    <w:rsid w:val="00760695"/>
    <w:rsid w:val="00763F84"/>
    <w:rsid w:val="007660FD"/>
    <w:rsid w:val="0077792C"/>
    <w:rsid w:val="00780B8A"/>
    <w:rsid w:val="00783133"/>
    <w:rsid w:val="00790D70"/>
    <w:rsid w:val="007922E0"/>
    <w:rsid w:val="0079314D"/>
    <w:rsid w:val="00795A6B"/>
    <w:rsid w:val="007A2D41"/>
    <w:rsid w:val="007B0A6D"/>
    <w:rsid w:val="007B31FA"/>
    <w:rsid w:val="007B3C2E"/>
    <w:rsid w:val="007B64E7"/>
    <w:rsid w:val="007B79E6"/>
    <w:rsid w:val="007C6B83"/>
    <w:rsid w:val="007D1002"/>
    <w:rsid w:val="007D1BCF"/>
    <w:rsid w:val="007D39FD"/>
    <w:rsid w:val="007D7A64"/>
    <w:rsid w:val="007E1FEB"/>
    <w:rsid w:val="007E497B"/>
    <w:rsid w:val="007E4C2D"/>
    <w:rsid w:val="007E5A14"/>
    <w:rsid w:val="007F18CD"/>
    <w:rsid w:val="007F4648"/>
    <w:rsid w:val="007F6546"/>
    <w:rsid w:val="00807EE4"/>
    <w:rsid w:val="00825563"/>
    <w:rsid w:val="008258FF"/>
    <w:rsid w:val="00830927"/>
    <w:rsid w:val="00833E07"/>
    <w:rsid w:val="00834578"/>
    <w:rsid w:val="00834B88"/>
    <w:rsid w:val="00841A43"/>
    <w:rsid w:val="00843280"/>
    <w:rsid w:val="00843419"/>
    <w:rsid w:val="0084400D"/>
    <w:rsid w:val="00846BA7"/>
    <w:rsid w:val="00851C68"/>
    <w:rsid w:val="00853B4B"/>
    <w:rsid w:val="008639EA"/>
    <w:rsid w:val="00873A5B"/>
    <w:rsid w:val="00876D2B"/>
    <w:rsid w:val="00880B44"/>
    <w:rsid w:val="0088562D"/>
    <w:rsid w:val="00887A22"/>
    <w:rsid w:val="00890AD3"/>
    <w:rsid w:val="00891877"/>
    <w:rsid w:val="00891F51"/>
    <w:rsid w:val="00892871"/>
    <w:rsid w:val="008937D7"/>
    <w:rsid w:val="008A1D9A"/>
    <w:rsid w:val="008A2DE5"/>
    <w:rsid w:val="008A3328"/>
    <w:rsid w:val="008A5DD3"/>
    <w:rsid w:val="008B0DDC"/>
    <w:rsid w:val="008B512D"/>
    <w:rsid w:val="008C290A"/>
    <w:rsid w:val="008C3B4C"/>
    <w:rsid w:val="008C542F"/>
    <w:rsid w:val="008C7592"/>
    <w:rsid w:val="008D0DA6"/>
    <w:rsid w:val="008D38E3"/>
    <w:rsid w:val="008D41BF"/>
    <w:rsid w:val="008E00C6"/>
    <w:rsid w:val="008E425D"/>
    <w:rsid w:val="008E4AE9"/>
    <w:rsid w:val="008F03E6"/>
    <w:rsid w:val="008F121D"/>
    <w:rsid w:val="008F2E43"/>
    <w:rsid w:val="008F30B2"/>
    <w:rsid w:val="008F361B"/>
    <w:rsid w:val="008F4833"/>
    <w:rsid w:val="008F7710"/>
    <w:rsid w:val="00903F5C"/>
    <w:rsid w:val="00910162"/>
    <w:rsid w:val="009123AA"/>
    <w:rsid w:val="009138B6"/>
    <w:rsid w:val="00913F34"/>
    <w:rsid w:val="0091425F"/>
    <w:rsid w:val="00915B2B"/>
    <w:rsid w:val="00916016"/>
    <w:rsid w:val="00921002"/>
    <w:rsid w:val="00933933"/>
    <w:rsid w:val="009350A6"/>
    <w:rsid w:val="00943618"/>
    <w:rsid w:val="00944ED7"/>
    <w:rsid w:val="009509EA"/>
    <w:rsid w:val="00952EBA"/>
    <w:rsid w:val="00956648"/>
    <w:rsid w:val="00962FB5"/>
    <w:rsid w:val="009633B9"/>
    <w:rsid w:val="00967496"/>
    <w:rsid w:val="0097432F"/>
    <w:rsid w:val="009834BA"/>
    <w:rsid w:val="00992861"/>
    <w:rsid w:val="00997E1E"/>
    <w:rsid w:val="009A3CA6"/>
    <w:rsid w:val="009A4F82"/>
    <w:rsid w:val="009A50D5"/>
    <w:rsid w:val="009A6B34"/>
    <w:rsid w:val="009A7FE5"/>
    <w:rsid w:val="009B137A"/>
    <w:rsid w:val="009B7DB1"/>
    <w:rsid w:val="009B7DFC"/>
    <w:rsid w:val="009C3429"/>
    <w:rsid w:val="009D6018"/>
    <w:rsid w:val="009D6B67"/>
    <w:rsid w:val="009E0CA6"/>
    <w:rsid w:val="009E4208"/>
    <w:rsid w:val="009E428E"/>
    <w:rsid w:val="009F0924"/>
    <w:rsid w:val="009F54A3"/>
    <w:rsid w:val="009F645C"/>
    <w:rsid w:val="009F693B"/>
    <w:rsid w:val="00A000CE"/>
    <w:rsid w:val="00A0285A"/>
    <w:rsid w:val="00A046AD"/>
    <w:rsid w:val="00A06238"/>
    <w:rsid w:val="00A06E33"/>
    <w:rsid w:val="00A10400"/>
    <w:rsid w:val="00A10461"/>
    <w:rsid w:val="00A1500E"/>
    <w:rsid w:val="00A174DC"/>
    <w:rsid w:val="00A22955"/>
    <w:rsid w:val="00A235FD"/>
    <w:rsid w:val="00A24836"/>
    <w:rsid w:val="00A25FA3"/>
    <w:rsid w:val="00A302AC"/>
    <w:rsid w:val="00A32F3B"/>
    <w:rsid w:val="00A376B3"/>
    <w:rsid w:val="00A37C01"/>
    <w:rsid w:val="00A44E54"/>
    <w:rsid w:val="00A60E47"/>
    <w:rsid w:val="00A61762"/>
    <w:rsid w:val="00A62967"/>
    <w:rsid w:val="00A657D9"/>
    <w:rsid w:val="00A67FE7"/>
    <w:rsid w:val="00A72BA2"/>
    <w:rsid w:val="00A91016"/>
    <w:rsid w:val="00A96A34"/>
    <w:rsid w:val="00A9742A"/>
    <w:rsid w:val="00AA368B"/>
    <w:rsid w:val="00AA4120"/>
    <w:rsid w:val="00AB03C6"/>
    <w:rsid w:val="00AB04AD"/>
    <w:rsid w:val="00AB3ED0"/>
    <w:rsid w:val="00AB46E3"/>
    <w:rsid w:val="00AC3A3B"/>
    <w:rsid w:val="00AC61DC"/>
    <w:rsid w:val="00AD0928"/>
    <w:rsid w:val="00AD11CA"/>
    <w:rsid w:val="00AD2B0F"/>
    <w:rsid w:val="00AD399A"/>
    <w:rsid w:val="00AD604A"/>
    <w:rsid w:val="00AE312A"/>
    <w:rsid w:val="00AE48B7"/>
    <w:rsid w:val="00AE505A"/>
    <w:rsid w:val="00AF1443"/>
    <w:rsid w:val="00AF382C"/>
    <w:rsid w:val="00AF4B70"/>
    <w:rsid w:val="00B02614"/>
    <w:rsid w:val="00B04612"/>
    <w:rsid w:val="00B04E48"/>
    <w:rsid w:val="00B05029"/>
    <w:rsid w:val="00B06A9E"/>
    <w:rsid w:val="00B21516"/>
    <w:rsid w:val="00B23CF4"/>
    <w:rsid w:val="00B24396"/>
    <w:rsid w:val="00B24AF6"/>
    <w:rsid w:val="00B265EC"/>
    <w:rsid w:val="00B302A9"/>
    <w:rsid w:val="00B41B4C"/>
    <w:rsid w:val="00B42E84"/>
    <w:rsid w:val="00B43D96"/>
    <w:rsid w:val="00B4400C"/>
    <w:rsid w:val="00B441EB"/>
    <w:rsid w:val="00B56A0C"/>
    <w:rsid w:val="00B6775C"/>
    <w:rsid w:val="00B726C4"/>
    <w:rsid w:val="00B72A2E"/>
    <w:rsid w:val="00B74EF5"/>
    <w:rsid w:val="00B750F7"/>
    <w:rsid w:val="00B75476"/>
    <w:rsid w:val="00B75EB2"/>
    <w:rsid w:val="00B76C3E"/>
    <w:rsid w:val="00B8262F"/>
    <w:rsid w:val="00B84F03"/>
    <w:rsid w:val="00B85C50"/>
    <w:rsid w:val="00B96931"/>
    <w:rsid w:val="00BA6D3E"/>
    <w:rsid w:val="00BA7EAD"/>
    <w:rsid w:val="00BB1441"/>
    <w:rsid w:val="00BB65F2"/>
    <w:rsid w:val="00BB697D"/>
    <w:rsid w:val="00BB7C3B"/>
    <w:rsid w:val="00BB7CAC"/>
    <w:rsid w:val="00BC0FD9"/>
    <w:rsid w:val="00BC67BF"/>
    <w:rsid w:val="00BD04FF"/>
    <w:rsid w:val="00BD0F9D"/>
    <w:rsid w:val="00BD1950"/>
    <w:rsid w:val="00BD3553"/>
    <w:rsid w:val="00BD5249"/>
    <w:rsid w:val="00BD6E0F"/>
    <w:rsid w:val="00BD746A"/>
    <w:rsid w:val="00BE0213"/>
    <w:rsid w:val="00BE5A7F"/>
    <w:rsid w:val="00BE79AE"/>
    <w:rsid w:val="00BE7F67"/>
    <w:rsid w:val="00BF0C1C"/>
    <w:rsid w:val="00BF4844"/>
    <w:rsid w:val="00BF64CE"/>
    <w:rsid w:val="00C01804"/>
    <w:rsid w:val="00C0557B"/>
    <w:rsid w:val="00C0698A"/>
    <w:rsid w:val="00C10C3A"/>
    <w:rsid w:val="00C1187E"/>
    <w:rsid w:val="00C14BCF"/>
    <w:rsid w:val="00C20350"/>
    <w:rsid w:val="00C214A2"/>
    <w:rsid w:val="00C220E0"/>
    <w:rsid w:val="00C34F30"/>
    <w:rsid w:val="00C44628"/>
    <w:rsid w:val="00C468FE"/>
    <w:rsid w:val="00C52D88"/>
    <w:rsid w:val="00C579C1"/>
    <w:rsid w:val="00C60D61"/>
    <w:rsid w:val="00C62BAC"/>
    <w:rsid w:val="00C63CC4"/>
    <w:rsid w:val="00C66DDE"/>
    <w:rsid w:val="00C6712E"/>
    <w:rsid w:val="00C728DD"/>
    <w:rsid w:val="00C75934"/>
    <w:rsid w:val="00C75BF8"/>
    <w:rsid w:val="00C8221F"/>
    <w:rsid w:val="00C84DEA"/>
    <w:rsid w:val="00C8568B"/>
    <w:rsid w:val="00C87193"/>
    <w:rsid w:val="00C90963"/>
    <w:rsid w:val="00C90996"/>
    <w:rsid w:val="00C913A0"/>
    <w:rsid w:val="00C92368"/>
    <w:rsid w:val="00C92A7D"/>
    <w:rsid w:val="00C9311A"/>
    <w:rsid w:val="00CA4FC1"/>
    <w:rsid w:val="00CB396D"/>
    <w:rsid w:val="00CB5B98"/>
    <w:rsid w:val="00CB72EB"/>
    <w:rsid w:val="00CB7622"/>
    <w:rsid w:val="00CB7873"/>
    <w:rsid w:val="00CC22A3"/>
    <w:rsid w:val="00CC338F"/>
    <w:rsid w:val="00CC34C0"/>
    <w:rsid w:val="00CC492E"/>
    <w:rsid w:val="00CD18B8"/>
    <w:rsid w:val="00CD201E"/>
    <w:rsid w:val="00CD33E1"/>
    <w:rsid w:val="00CD49C1"/>
    <w:rsid w:val="00CD6841"/>
    <w:rsid w:val="00CE19DD"/>
    <w:rsid w:val="00CE2E26"/>
    <w:rsid w:val="00CE3157"/>
    <w:rsid w:val="00CE33D8"/>
    <w:rsid w:val="00CE39C3"/>
    <w:rsid w:val="00CF734C"/>
    <w:rsid w:val="00CF787D"/>
    <w:rsid w:val="00D01F8F"/>
    <w:rsid w:val="00D11B11"/>
    <w:rsid w:val="00D12579"/>
    <w:rsid w:val="00D1310A"/>
    <w:rsid w:val="00D1467B"/>
    <w:rsid w:val="00D15E6D"/>
    <w:rsid w:val="00D164E8"/>
    <w:rsid w:val="00D16749"/>
    <w:rsid w:val="00D201C9"/>
    <w:rsid w:val="00D22D18"/>
    <w:rsid w:val="00D320F8"/>
    <w:rsid w:val="00D3487B"/>
    <w:rsid w:val="00D359D4"/>
    <w:rsid w:val="00D378BB"/>
    <w:rsid w:val="00D40079"/>
    <w:rsid w:val="00D4065A"/>
    <w:rsid w:val="00D40DF5"/>
    <w:rsid w:val="00D43EC8"/>
    <w:rsid w:val="00D4429F"/>
    <w:rsid w:val="00D5356E"/>
    <w:rsid w:val="00D53747"/>
    <w:rsid w:val="00D549EE"/>
    <w:rsid w:val="00D56689"/>
    <w:rsid w:val="00D632EE"/>
    <w:rsid w:val="00D675BE"/>
    <w:rsid w:val="00D72EC8"/>
    <w:rsid w:val="00D73D19"/>
    <w:rsid w:val="00D73DD0"/>
    <w:rsid w:val="00D8175E"/>
    <w:rsid w:val="00D83978"/>
    <w:rsid w:val="00D8462D"/>
    <w:rsid w:val="00D851FA"/>
    <w:rsid w:val="00D93DDA"/>
    <w:rsid w:val="00DA1A9A"/>
    <w:rsid w:val="00DA1D91"/>
    <w:rsid w:val="00DA7085"/>
    <w:rsid w:val="00DB0420"/>
    <w:rsid w:val="00DB0700"/>
    <w:rsid w:val="00DB2FD2"/>
    <w:rsid w:val="00DB5CDE"/>
    <w:rsid w:val="00DB5D89"/>
    <w:rsid w:val="00DB6006"/>
    <w:rsid w:val="00DB7B03"/>
    <w:rsid w:val="00DC0C6D"/>
    <w:rsid w:val="00DC17B8"/>
    <w:rsid w:val="00DC455F"/>
    <w:rsid w:val="00DC591A"/>
    <w:rsid w:val="00DD1E21"/>
    <w:rsid w:val="00DD7180"/>
    <w:rsid w:val="00DD7712"/>
    <w:rsid w:val="00DE0046"/>
    <w:rsid w:val="00DE0592"/>
    <w:rsid w:val="00DE3343"/>
    <w:rsid w:val="00DE33F8"/>
    <w:rsid w:val="00DE3764"/>
    <w:rsid w:val="00DE409D"/>
    <w:rsid w:val="00DF03EF"/>
    <w:rsid w:val="00DF2AA1"/>
    <w:rsid w:val="00DF64F1"/>
    <w:rsid w:val="00E06327"/>
    <w:rsid w:val="00E10194"/>
    <w:rsid w:val="00E157F6"/>
    <w:rsid w:val="00E16D92"/>
    <w:rsid w:val="00E16FAF"/>
    <w:rsid w:val="00E21B29"/>
    <w:rsid w:val="00E259F4"/>
    <w:rsid w:val="00E25A86"/>
    <w:rsid w:val="00E2761E"/>
    <w:rsid w:val="00E30FE4"/>
    <w:rsid w:val="00E33772"/>
    <w:rsid w:val="00E35250"/>
    <w:rsid w:val="00E367A3"/>
    <w:rsid w:val="00E4638F"/>
    <w:rsid w:val="00E4676A"/>
    <w:rsid w:val="00E47024"/>
    <w:rsid w:val="00E4760F"/>
    <w:rsid w:val="00E564DA"/>
    <w:rsid w:val="00E61474"/>
    <w:rsid w:val="00E750C7"/>
    <w:rsid w:val="00E8182C"/>
    <w:rsid w:val="00E83C96"/>
    <w:rsid w:val="00E8434F"/>
    <w:rsid w:val="00E85FE7"/>
    <w:rsid w:val="00E8708A"/>
    <w:rsid w:val="00E937B5"/>
    <w:rsid w:val="00E95043"/>
    <w:rsid w:val="00E95122"/>
    <w:rsid w:val="00E95417"/>
    <w:rsid w:val="00EA0D35"/>
    <w:rsid w:val="00EA79C7"/>
    <w:rsid w:val="00EB737F"/>
    <w:rsid w:val="00EC4F06"/>
    <w:rsid w:val="00EC7D0E"/>
    <w:rsid w:val="00ED63D2"/>
    <w:rsid w:val="00ED78B2"/>
    <w:rsid w:val="00EE03CF"/>
    <w:rsid w:val="00EE234A"/>
    <w:rsid w:val="00EE54FE"/>
    <w:rsid w:val="00EE6A9B"/>
    <w:rsid w:val="00EF3EA8"/>
    <w:rsid w:val="00EF7644"/>
    <w:rsid w:val="00F037BA"/>
    <w:rsid w:val="00F0725D"/>
    <w:rsid w:val="00F2297A"/>
    <w:rsid w:val="00F2617B"/>
    <w:rsid w:val="00F31AC3"/>
    <w:rsid w:val="00F324E4"/>
    <w:rsid w:val="00F34050"/>
    <w:rsid w:val="00F41138"/>
    <w:rsid w:val="00F424B2"/>
    <w:rsid w:val="00F42DFE"/>
    <w:rsid w:val="00F43B76"/>
    <w:rsid w:val="00F45061"/>
    <w:rsid w:val="00F45B9F"/>
    <w:rsid w:val="00F46E5D"/>
    <w:rsid w:val="00F50BC9"/>
    <w:rsid w:val="00F52735"/>
    <w:rsid w:val="00F639AB"/>
    <w:rsid w:val="00F672FF"/>
    <w:rsid w:val="00F73275"/>
    <w:rsid w:val="00F77124"/>
    <w:rsid w:val="00F93A58"/>
    <w:rsid w:val="00F97248"/>
    <w:rsid w:val="00FA07A2"/>
    <w:rsid w:val="00FA0B7C"/>
    <w:rsid w:val="00FA11E7"/>
    <w:rsid w:val="00FA3BC8"/>
    <w:rsid w:val="00FB05BA"/>
    <w:rsid w:val="00FB06C1"/>
    <w:rsid w:val="00FB5A68"/>
    <w:rsid w:val="00FB7121"/>
    <w:rsid w:val="00FC53C7"/>
    <w:rsid w:val="00FC6242"/>
    <w:rsid w:val="00FC697D"/>
    <w:rsid w:val="00FD0E80"/>
    <w:rsid w:val="00FD2440"/>
    <w:rsid w:val="00FD3D82"/>
    <w:rsid w:val="00FD4E6C"/>
    <w:rsid w:val="00FE0A72"/>
    <w:rsid w:val="00FE64FC"/>
    <w:rsid w:val="00FE761B"/>
    <w:rsid w:val="02CB3657"/>
    <w:rsid w:val="08034550"/>
    <w:rsid w:val="0A076A2C"/>
    <w:rsid w:val="0A601263"/>
    <w:rsid w:val="0A922983"/>
    <w:rsid w:val="13E744B7"/>
    <w:rsid w:val="151D127C"/>
    <w:rsid w:val="1CE625CD"/>
    <w:rsid w:val="203C1534"/>
    <w:rsid w:val="210466A8"/>
    <w:rsid w:val="235A693F"/>
    <w:rsid w:val="2C464019"/>
    <w:rsid w:val="31A72B6D"/>
    <w:rsid w:val="343F6F73"/>
    <w:rsid w:val="38435BD9"/>
    <w:rsid w:val="3D2E6701"/>
    <w:rsid w:val="3D8A5E81"/>
    <w:rsid w:val="3DCE0312"/>
    <w:rsid w:val="3E6616CD"/>
    <w:rsid w:val="417411D1"/>
    <w:rsid w:val="43733CC1"/>
    <w:rsid w:val="46040D75"/>
    <w:rsid w:val="473C23CE"/>
    <w:rsid w:val="4C3E2B07"/>
    <w:rsid w:val="4EFB2CED"/>
    <w:rsid w:val="4F72025A"/>
    <w:rsid w:val="505E5526"/>
    <w:rsid w:val="54DB6D5F"/>
    <w:rsid w:val="556143CD"/>
    <w:rsid w:val="56554D39"/>
    <w:rsid w:val="57A353DB"/>
    <w:rsid w:val="5AC16DDD"/>
    <w:rsid w:val="5AD66FBC"/>
    <w:rsid w:val="5AE825BC"/>
    <w:rsid w:val="5BBB58D3"/>
    <w:rsid w:val="5DA030BE"/>
    <w:rsid w:val="602F33AA"/>
    <w:rsid w:val="637E34DF"/>
    <w:rsid w:val="64F93617"/>
    <w:rsid w:val="65FE7137"/>
    <w:rsid w:val="66E15165"/>
    <w:rsid w:val="6B7617CF"/>
    <w:rsid w:val="6D0A0937"/>
    <w:rsid w:val="6DFF79C8"/>
    <w:rsid w:val="70B34FC2"/>
    <w:rsid w:val="72E10A70"/>
    <w:rsid w:val="76315FC6"/>
    <w:rsid w:val="76FB4C1D"/>
    <w:rsid w:val="771956E5"/>
    <w:rsid w:val="7BB028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0" w:firstLineChars="4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45"/>
    <w:qFormat/>
    <w:uiPriority w:val="0"/>
    <w:pPr>
      <w:keepNext/>
      <w:keepLines/>
      <w:ind w:firstLine="720" w:firstLineChars="200"/>
      <w:outlineLvl w:val="0"/>
    </w:pPr>
    <w:rPr>
      <w:rFonts w:eastAsia="黑体"/>
      <w:bCs/>
      <w:kern w:val="44"/>
      <w:szCs w:val="44"/>
    </w:rPr>
  </w:style>
  <w:style w:type="paragraph" w:styleId="5">
    <w:name w:val="heading 2"/>
    <w:basedOn w:val="1"/>
    <w:next w:val="1"/>
    <w:link w:val="50"/>
    <w:unhideWhenUsed/>
    <w:qFormat/>
    <w:uiPriority w:val="0"/>
    <w:pPr>
      <w:keepNext/>
      <w:keepLines/>
      <w:ind w:firstLine="720" w:firstLineChars="200"/>
      <w:outlineLvl w:val="1"/>
    </w:pPr>
    <w:rPr>
      <w:rFonts w:asciiTheme="majorHAnsi" w:hAnsiTheme="majorHAnsi" w:cstheme="majorBidi"/>
      <w:b/>
      <w:bCs/>
      <w:szCs w:val="32"/>
    </w:rPr>
  </w:style>
  <w:style w:type="paragraph" w:styleId="6">
    <w:name w:val="heading 3"/>
    <w:basedOn w:val="1"/>
    <w:next w:val="1"/>
    <w:link w:val="51"/>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1"/>
    <w:link w:val="6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9"/>
    <w:link w:val="62"/>
    <w:qFormat/>
    <w:uiPriority w:val="0"/>
    <w:pPr>
      <w:keepNext/>
      <w:keepLines/>
      <w:widowControl/>
      <w:jc w:val="left"/>
      <w:outlineLvl w:val="4"/>
    </w:pPr>
    <w:rPr>
      <w:rFonts w:ascii="仿宋" w:hAnsi="仿宋" w:eastAsia="仿宋" w:cs="仿宋"/>
      <w:b/>
      <w:sz w:val="30"/>
      <w:szCs w:val="30"/>
    </w:rPr>
  </w:style>
  <w:style w:type="paragraph" w:styleId="10">
    <w:name w:val="heading 6"/>
    <w:basedOn w:val="1"/>
    <w:next w:val="1"/>
    <w:link w:val="63"/>
    <w:qFormat/>
    <w:uiPriority w:val="0"/>
    <w:pPr>
      <w:autoSpaceDE w:val="0"/>
      <w:autoSpaceDN w:val="0"/>
      <w:jc w:val="left"/>
      <w:outlineLvl w:val="5"/>
    </w:pPr>
    <w:rPr>
      <w:rFonts w:ascii="仿宋" w:hAnsi="仿宋" w:eastAsia="仿宋" w:cs="仿宋"/>
      <w:kern w:val="0"/>
      <w:sz w:val="20"/>
      <w:szCs w:val="30"/>
    </w:rPr>
  </w:style>
  <w:style w:type="paragraph" w:styleId="11">
    <w:name w:val="heading 7"/>
    <w:basedOn w:val="1"/>
    <w:next w:val="9"/>
    <w:link w:val="64"/>
    <w:qFormat/>
    <w:uiPriority w:val="0"/>
    <w:pPr>
      <w:keepLines/>
      <w:widowControl/>
      <w:numPr>
        <w:ilvl w:val="6"/>
        <w:numId w:val="1"/>
      </w:numPr>
      <w:spacing w:before="120"/>
      <w:jc w:val="left"/>
      <w:outlineLvl w:val="6"/>
    </w:pPr>
    <w:rPr>
      <w:rFonts w:ascii="仿宋" w:hAnsi="仿宋" w:eastAsia="仿宋" w:cs="仿宋"/>
      <w:sz w:val="30"/>
      <w:szCs w:val="30"/>
    </w:rPr>
  </w:style>
  <w:style w:type="paragraph" w:styleId="12">
    <w:name w:val="heading 8"/>
    <w:basedOn w:val="1"/>
    <w:next w:val="1"/>
    <w:link w:val="65"/>
    <w:qFormat/>
    <w:uiPriority w:val="0"/>
    <w:pPr>
      <w:keepNext/>
      <w:keepLines/>
      <w:widowControl/>
      <w:spacing w:before="240" w:after="64" w:line="320" w:lineRule="auto"/>
      <w:jc w:val="left"/>
      <w:outlineLvl w:val="7"/>
    </w:pPr>
    <w:rPr>
      <w:rFonts w:ascii="仿宋" w:hAnsi="仿宋" w:eastAsia="黑体" w:cs="仿宋"/>
      <w:szCs w:val="30"/>
    </w:rPr>
  </w:style>
  <w:style w:type="paragraph" w:styleId="13">
    <w:name w:val="heading 9"/>
    <w:basedOn w:val="1"/>
    <w:next w:val="1"/>
    <w:link w:val="66"/>
    <w:qFormat/>
    <w:uiPriority w:val="0"/>
    <w:pPr>
      <w:keepNext/>
      <w:keepLines/>
      <w:widowControl/>
      <w:spacing w:before="240" w:after="64" w:line="320" w:lineRule="atLeast"/>
      <w:jc w:val="left"/>
      <w:outlineLvl w:val="8"/>
    </w:pPr>
    <w:rPr>
      <w:rFonts w:ascii="仿宋" w:hAnsi="仿宋" w:eastAsia="黑体" w:cs="仿宋"/>
      <w:sz w:val="30"/>
      <w:szCs w:val="3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rPr>
  </w:style>
  <w:style w:type="paragraph" w:styleId="3">
    <w:name w:val="Body Text"/>
    <w:basedOn w:val="1"/>
    <w:link w:val="52"/>
    <w:qFormat/>
    <w:uiPriority w:val="0"/>
    <w:pPr>
      <w:spacing w:line="360" w:lineRule="exact"/>
      <w:jc w:val="left"/>
    </w:pPr>
    <w:rPr>
      <w:rFonts w:ascii="宋体" w:hAnsi="宋体" w:eastAsia="仿宋"/>
      <w:bCs/>
      <w:szCs w:val="20"/>
    </w:rPr>
  </w:style>
  <w:style w:type="paragraph" w:customStyle="1" w:styleId="9">
    <w:name w:val="首行缩进"/>
    <w:basedOn w:val="1"/>
    <w:link w:val="67"/>
    <w:qFormat/>
    <w:uiPriority w:val="0"/>
    <w:pPr>
      <w:ind w:firstLine="420" w:firstLineChars="200"/>
    </w:pPr>
    <w:rPr>
      <w:rFonts w:asciiTheme="minorHAnsi" w:hAnsiTheme="minorHAnsi" w:eastAsiaTheme="minorEastAsia" w:cstheme="minorBidi"/>
      <w:szCs w:val="22"/>
    </w:rPr>
  </w:style>
  <w:style w:type="paragraph" w:styleId="14">
    <w:name w:val="toc 7"/>
    <w:basedOn w:val="1"/>
    <w:next w:val="1"/>
    <w:qFormat/>
    <w:uiPriority w:val="0"/>
    <w:pPr>
      <w:widowControl/>
      <w:ind w:left="1260"/>
      <w:jc w:val="left"/>
    </w:pPr>
    <w:rPr>
      <w:rFonts w:eastAsia="仿宋"/>
      <w:sz w:val="18"/>
      <w:szCs w:val="18"/>
    </w:rPr>
  </w:style>
  <w:style w:type="paragraph" w:styleId="15">
    <w:name w:val="Normal Indent"/>
    <w:basedOn w:val="1"/>
    <w:link w:val="76"/>
    <w:qFormat/>
    <w:uiPriority w:val="0"/>
    <w:pPr>
      <w:ind w:firstLine="476"/>
    </w:pPr>
    <w:rPr>
      <w:rFonts w:ascii="微软雅黑" w:hAnsi="微软雅黑" w:eastAsia="微软雅黑"/>
      <w:kern w:val="0"/>
      <w:szCs w:val="28"/>
    </w:rPr>
  </w:style>
  <w:style w:type="paragraph" w:styleId="16">
    <w:name w:val="caption"/>
    <w:basedOn w:val="1"/>
    <w:next w:val="1"/>
    <w:qFormat/>
    <w:uiPriority w:val="0"/>
    <w:pPr>
      <w:widowControl/>
      <w:spacing w:before="152" w:after="160"/>
      <w:jc w:val="left"/>
    </w:pPr>
    <w:rPr>
      <w:rFonts w:ascii="仿宋" w:hAnsi="仿宋" w:eastAsia="黑体" w:cs="仿宋"/>
      <w:sz w:val="30"/>
      <w:szCs w:val="30"/>
    </w:rPr>
  </w:style>
  <w:style w:type="paragraph" w:styleId="17">
    <w:name w:val="Document Map"/>
    <w:basedOn w:val="1"/>
    <w:link w:val="77"/>
    <w:qFormat/>
    <w:uiPriority w:val="0"/>
    <w:pPr>
      <w:widowControl/>
      <w:shd w:val="clear" w:color="auto" w:fill="000080"/>
      <w:jc w:val="left"/>
    </w:pPr>
    <w:rPr>
      <w:rFonts w:ascii="仿宋" w:hAnsi="仿宋" w:eastAsia="仿宋" w:cs="仿宋"/>
      <w:sz w:val="30"/>
      <w:szCs w:val="30"/>
    </w:rPr>
  </w:style>
  <w:style w:type="paragraph" w:styleId="18">
    <w:name w:val="annotation text"/>
    <w:basedOn w:val="1"/>
    <w:link w:val="68"/>
    <w:unhideWhenUsed/>
    <w:qFormat/>
    <w:uiPriority w:val="0"/>
    <w:pPr>
      <w:jc w:val="left"/>
    </w:pPr>
    <w:rPr>
      <w:rFonts w:asciiTheme="minorHAnsi" w:hAnsiTheme="minorHAnsi" w:eastAsiaTheme="minorEastAsia" w:cstheme="minorBidi"/>
      <w:szCs w:val="22"/>
    </w:rPr>
  </w:style>
  <w:style w:type="paragraph" w:styleId="19">
    <w:name w:val="toc 5"/>
    <w:basedOn w:val="1"/>
    <w:next w:val="1"/>
    <w:qFormat/>
    <w:uiPriority w:val="0"/>
    <w:pPr>
      <w:widowControl/>
      <w:ind w:left="840"/>
      <w:jc w:val="left"/>
    </w:pPr>
    <w:rPr>
      <w:rFonts w:eastAsia="仿宋"/>
      <w:sz w:val="18"/>
      <w:szCs w:val="18"/>
    </w:rPr>
  </w:style>
  <w:style w:type="paragraph" w:styleId="20">
    <w:name w:val="toc 3"/>
    <w:basedOn w:val="1"/>
    <w:next w:val="1"/>
    <w:qFormat/>
    <w:uiPriority w:val="39"/>
    <w:pPr>
      <w:widowControl/>
      <w:ind w:left="420"/>
      <w:jc w:val="left"/>
    </w:pPr>
    <w:rPr>
      <w:rFonts w:eastAsia="仿宋"/>
      <w:i/>
      <w:iCs/>
      <w:sz w:val="20"/>
      <w:szCs w:val="20"/>
    </w:rPr>
  </w:style>
  <w:style w:type="paragraph" w:styleId="21">
    <w:name w:val="toc 8"/>
    <w:basedOn w:val="1"/>
    <w:next w:val="1"/>
    <w:qFormat/>
    <w:uiPriority w:val="0"/>
    <w:pPr>
      <w:widowControl/>
      <w:ind w:left="1470"/>
      <w:jc w:val="left"/>
    </w:pPr>
    <w:rPr>
      <w:rFonts w:eastAsia="仿宋"/>
      <w:sz w:val="18"/>
      <w:szCs w:val="18"/>
    </w:rPr>
  </w:style>
  <w:style w:type="paragraph" w:styleId="22">
    <w:name w:val="Date"/>
    <w:basedOn w:val="1"/>
    <w:next w:val="1"/>
    <w:link w:val="78"/>
    <w:unhideWhenUsed/>
    <w:qFormat/>
    <w:uiPriority w:val="99"/>
    <w:pPr>
      <w:widowControl/>
      <w:ind w:left="100" w:leftChars="2500"/>
      <w:jc w:val="left"/>
    </w:pPr>
    <w:rPr>
      <w:rFonts w:ascii="仿宋" w:hAnsi="仿宋" w:eastAsia="仿宋" w:cs="仿宋"/>
      <w:sz w:val="30"/>
      <w:szCs w:val="30"/>
    </w:rPr>
  </w:style>
  <w:style w:type="paragraph" w:styleId="23">
    <w:name w:val="Balloon Text"/>
    <w:basedOn w:val="1"/>
    <w:link w:val="56"/>
    <w:unhideWhenUsed/>
    <w:qFormat/>
    <w:uiPriority w:val="0"/>
    <w:rPr>
      <w:rFonts w:ascii="Heiti SC Light" w:eastAsia="Heiti SC Light"/>
      <w:sz w:val="18"/>
      <w:szCs w:val="18"/>
    </w:rPr>
  </w:style>
  <w:style w:type="paragraph" w:styleId="24">
    <w:name w:val="footer"/>
    <w:basedOn w:val="1"/>
    <w:link w:val="49"/>
    <w:unhideWhenUsed/>
    <w:qFormat/>
    <w:uiPriority w:val="99"/>
    <w:pPr>
      <w:tabs>
        <w:tab w:val="center" w:pos="4153"/>
        <w:tab w:val="right" w:pos="8306"/>
      </w:tabs>
      <w:snapToGrid w:val="0"/>
      <w:jc w:val="left"/>
    </w:pPr>
    <w:rPr>
      <w:sz w:val="18"/>
      <w:szCs w:val="18"/>
    </w:rPr>
  </w:style>
  <w:style w:type="paragraph" w:styleId="25">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next w:val="1"/>
    <w:qFormat/>
    <w:uiPriority w:val="39"/>
    <w:pPr>
      <w:spacing w:before="120" w:after="120" w:line="300" w:lineRule="auto"/>
    </w:pPr>
    <w:rPr>
      <w:rFonts w:ascii="Times New Roman" w:hAnsi="Times New Roman" w:eastAsia="宋体" w:cs="Times New Roman"/>
      <w:b/>
      <w:bCs/>
      <w:caps/>
      <w:kern w:val="2"/>
      <w:lang w:val="en-US" w:eastAsia="zh-CN" w:bidi="ar-SA"/>
    </w:rPr>
  </w:style>
  <w:style w:type="paragraph" w:styleId="27">
    <w:name w:val="toc 4"/>
    <w:basedOn w:val="1"/>
    <w:next w:val="1"/>
    <w:qFormat/>
    <w:uiPriority w:val="0"/>
    <w:pPr>
      <w:widowControl/>
      <w:ind w:left="630"/>
      <w:jc w:val="left"/>
    </w:pPr>
    <w:rPr>
      <w:rFonts w:eastAsia="仿宋"/>
      <w:sz w:val="18"/>
      <w:szCs w:val="18"/>
    </w:rPr>
  </w:style>
  <w:style w:type="paragraph" w:styleId="28">
    <w:name w:val="Subtitle"/>
    <w:basedOn w:val="1"/>
    <w:next w:val="1"/>
    <w:link w:val="79"/>
    <w:qFormat/>
    <w:uiPriority w:val="99"/>
    <w:pPr>
      <w:spacing w:before="240" w:after="60" w:line="312" w:lineRule="auto"/>
      <w:jc w:val="left"/>
      <w:outlineLvl w:val="1"/>
    </w:pPr>
    <w:rPr>
      <w:rFonts w:ascii="Cambria" w:hAnsi="Cambria" w:eastAsia="仿宋"/>
      <w:b/>
      <w:kern w:val="28"/>
      <w:sz w:val="32"/>
      <w:szCs w:val="20"/>
    </w:rPr>
  </w:style>
  <w:style w:type="paragraph" w:styleId="29">
    <w:name w:val="footnote text"/>
    <w:basedOn w:val="1"/>
    <w:link w:val="70"/>
    <w:qFormat/>
    <w:uiPriority w:val="0"/>
    <w:pPr>
      <w:snapToGrid w:val="0"/>
      <w:jc w:val="left"/>
    </w:pPr>
    <w:rPr>
      <w:rFonts w:asciiTheme="minorHAnsi" w:hAnsiTheme="minorHAnsi" w:eastAsiaTheme="minorEastAsia" w:cstheme="minorBidi"/>
      <w:kern w:val="0"/>
      <w:sz w:val="18"/>
      <w:szCs w:val="18"/>
    </w:rPr>
  </w:style>
  <w:style w:type="paragraph" w:styleId="30">
    <w:name w:val="toc 6"/>
    <w:basedOn w:val="1"/>
    <w:next w:val="1"/>
    <w:qFormat/>
    <w:uiPriority w:val="0"/>
    <w:pPr>
      <w:widowControl/>
      <w:ind w:left="1050"/>
      <w:jc w:val="left"/>
    </w:pPr>
    <w:rPr>
      <w:rFonts w:eastAsia="仿宋"/>
      <w:sz w:val="18"/>
      <w:szCs w:val="18"/>
    </w:rPr>
  </w:style>
  <w:style w:type="paragraph" w:styleId="31">
    <w:name w:val="table of figures"/>
    <w:basedOn w:val="1"/>
    <w:next w:val="1"/>
    <w:qFormat/>
    <w:uiPriority w:val="0"/>
    <w:pPr>
      <w:widowControl/>
      <w:ind w:left="840" w:hanging="420"/>
      <w:jc w:val="left"/>
    </w:pPr>
    <w:rPr>
      <w:rFonts w:ascii="仿宋" w:hAnsi="仿宋" w:eastAsia="仿宋" w:cs="仿宋"/>
      <w:sz w:val="30"/>
      <w:szCs w:val="30"/>
    </w:rPr>
  </w:style>
  <w:style w:type="paragraph" w:styleId="32">
    <w:name w:val="toc 2"/>
    <w:basedOn w:val="1"/>
    <w:next w:val="1"/>
    <w:qFormat/>
    <w:uiPriority w:val="39"/>
    <w:pPr>
      <w:widowControl/>
      <w:ind w:left="210"/>
      <w:jc w:val="left"/>
    </w:pPr>
    <w:rPr>
      <w:rFonts w:eastAsia="仿宋"/>
      <w:smallCaps/>
      <w:sz w:val="20"/>
      <w:szCs w:val="20"/>
    </w:rPr>
  </w:style>
  <w:style w:type="paragraph" w:styleId="33">
    <w:name w:val="toc 9"/>
    <w:basedOn w:val="1"/>
    <w:next w:val="1"/>
    <w:qFormat/>
    <w:uiPriority w:val="0"/>
    <w:pPr>
      <w:widowControl/>
      <w:ind w:left="1680"/>
      <w:jc w:val="left"/>
    </w:pPr>
    <w:rPr>
      <w:rFonts w:eastAsia="仿宋"/>
      <w:sz w:val="18"/>
      <w:szCs w:val="18"/>
    </w:rPr>
  </w:style>
  <w:style w:type="paragraph" w:styleId="34">
    <w:name w:val="Normal (Web)"/>
    <w:basedOn w:val="1"/>
    <w:qFormat/>
    <w:uiPriority w:val="99"/>
    <w:pPr>
      <w:widowControl/>
      <w:spacing w:before="100" w:beforeAutospacing="1" w:after="100" w:afterAutospacing="1"/>
      <w:jc w:val="left"/>
    </w:pPr>
    <w:rPr>
      <w:rFonts w:ascii="宋体" w:hAnsi="宋体" w:eastAsia="仿宋" w:cs="宋体"/>
      <w:kern w:val="0"/>
    </w:rPr>
  </w:style>
  <w:style w:type="paragraph" w:styleId="35">
    <w:name w:val="Title"/>
    <w:basedOn w:val="1"/>
    <w:next w:val="1"/>
    <w:link w:val="80"/>
    <w:qFormat/>
    <w:uiPriority w:val="0"/>
    <w:pPr>
      <w:spacing w:before="240" w:after="60"/>
      <w:jc w:val="left"/>
      <w:outlineLvl w:val="0"/>
    </w:pPr>
    <w:rPr>
      <w:rFonts w:ascii="Cambria" w:hAnsi="Cambria" w:eastAsia="仿宋"/>
      <w:b/>
      <w:bCs/>
      <w:sz w:val="32"/>
      <w:szCs w:val="32"/>
    </w:rPr>
  </w:style>
  <w:style w:type="paragraph" w:styleId="36">
    <w:name w:val="annotation subject"/>
    <w:basedOn w:val="18"/>
    <w:next w:val="18"/>
    <w:link w:val="69"/>
    <w:qFormat/>
    <w:uiPriority w:val="0"/>
    <w:rPr>
      <w:b/>
      <w:bCs/>
    </w:rPr>
  </w:style>
  <w:style w:type="table" w:styleId="38">
    <w:name w:val="Table Grid"/>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22"/>
    <w:rPr>
      <w:b/>
      <w:bCs/>
    </w:rPr>
  </w:style>
  <w:style w:type="character" w:styleId="41">
    <w:name w:val="page number"/>
    <w:basedOn w:val="39"/>
    <w:qFormat/>
    <w:uiPriority w:val="0"/>
    <w:rPr>
      <w:rFonts w:ascii="Times New Roman" w:hAnsi="Times New Roman" w:eastAsia="宋体"/>
      <w:sz w:val="18"/>
      <w:szCs w:val="18"/>
    </w:rPr>
  </w:style>
  <w:style w:type="character" w:styleId="42">
    <w:name w:val="Hyperlink"/>
    <w:basedOn w:val="39"/>
    <w:qFormat/>
    <w:uiPriority w:val="0"/>
    <w:rPr>
      <w:color w:val="0563C1" w:themeColor="hyperlink"/>
      <w:u w:val="single"/>
    </w:rPr>
  </w:style>
  <w:style w:type="character" w:styleId="43">
    <w:name w:val="annotation reference"/>
    <w:basedOn w:val="39"/>
    <w:qFormat/>
    <w:uiPriority w:val="0"/>
    <w:rPr>
      <w:sz w:val="21"/>
      <w:szCs w:val="21"/>
    </w:rPr>
  </w:style>
  <w:style w:type="character" w:styleId="44">
    <w:name w:val="footnote reference"/>
    <w:qFormat/>
    <w:uiPriority w:val="0"/>
    <w:rPr>
      <w:rFonts w:cs="Times New Roman"/>
      <w:vertAlign w:val="superscript"/>
    </w:rPr>
  </w:style>
  <w:style w:type="character" w:customStyle="1" w:styleId="45">
    <w:name w:val="标题 1 Char"/>
    <w:basedOn w:val="39"/>
    <w:link w:val="4"/>
    <w:qFormat/>
    <w:uiPriority w:val="0"/>
    <w:rPr>
      <w:rFonts w:ascii="Times New Roman" w:hAnsi="Times New Roman" w:eastAsia="黑体" w:cs="Times New Roman"/>
      <w:bCs/>
      <w:kern w:val="44"/>
      <w:sz w:val="24"/>
      <w:szCs w:val="44"/>
    </w:rPr>
  </w:style>
  <w:style w:type="paragraph" w:customStyle="1" w:styleId="46">
    <w:name w:val="表格样式"/>
    <w:basedOn w:val="1"/>
    <w:link w:val="47"/>
    <w:qFormat/>
    <w:uiPriority w:val="0"/>
    <w:pPr>
      <w:widowControl/>
      <w:adjustRightInd w:val="0"/>
      <w:snapToGrid w:val="0"/>
      <w:spacing w:line="240" w:lineRule="auto"/>
      <w:ind w:firstLine="0" w:firstLineChars="0"/>
      <w:jc w:val="center"/>
    </w:pPr>
    <w:rPr>
      <w:rFonts w:ascii="仿宋" w:hAnsi="仿宋" w:eastAsia="仿宋" w:cs="仿宋"/>
      <w:sz w:val="21"/>
      <w:szCs w:val="30"/>
    </w:rPr>
  </w:style>
  <w:style w:type="character" w:customStyle="1" w:styleId="47">
    <w:name w:val="表格样式 Char"/>
    <w:basedOn w:val="39"/>
    <w:link w:val="46"/>
    <w:qFormat/>
    <w:uiPriority w:val="0"/>
    <w:rPr>
      <w:rFonts w:ascii="仿宋" w:hAnsi="仿宋" w:eastAsia="仿宋" w:cs="仿宋"/>
      <w:sz w:val="21"/>
      <w:szCs w:val="30"/>
    </w:rPr>
  </w:style>
  <w:style w:type="character" w:customStyle="1" w:styleId="48">
    <w:name w:val="页眉 Char"/>
    <w:basedOn w:val="39"/>
    <w:link w:val="25"/>
    <w:qFormat/>
    <w:uiPriority w:val="99"/>
    <w:rPr>
      <w:sz w:val="18"/>
      <w:szCs w:val="18"/>
    </w:rPr>
  </w:style>
  <w:style w:type="character" w:customStyle="1" w:styleId="49">
    <w:name w:val="页脚 Char"/>
    <w:basedOn w:val="39"/>
    <w:link w:val="24"/>
    <w:qFormat/>
    <w:uiPriority w:val="99"/>
    <w:rPr>
      <w:sz w:val="18"/>
      <w:szCs w:val="18"/>
    </w:rPr>
  </w:style>
  <w:style w:type="character" w:customStyle="1" w:styleId="50">
    <w:name w:val="标题 2 Char"/>
    <w:basedOn w:val="39"/>
    <w:link w:val="5"/>
    <w:qFormat/>
    <w:uiPriority w:val="0"/>
    <w:rPr>
      <w:rFonts w:eastAsia="仿宋_GB2312" w:asciiTheme="majorHAnsi" w:hAnsiTheme="majorHAnsi" w:cstheme="majorBidi"/>
      <w:b/>
      <w:bCs/>
      <w:sz w:val="24"/>
      <w:szCs w:val="32"/>
    </w:rPr>
  </w:style>
  <w:style w:type="character" w:customStyle="1" w:styleId="51">
    <w:name w:val="标题 3 Char"/>
    <w:basedOn w:val="39"/>
    <w:link w:val="6"/>
    <w:qFormat/>
    <w:uiPriority w:val="0"/>
    <w:rPr>
      <w:b/>
      <w:bCs/>
      <w:sz w:val="32"/>
      <w:szCs w:val="32"/>
    </w:rPr>
  </w:style>
  <w:style w:type="character" w:customStyle="1" w:styleId="52">
    <w:name w:val="正文文本 Char"/>
    <w:basedOn w:val="39"/>
    <w:link w:val="3"/>
    <w:qFormat/>
    <w:uiPriority w:val="0"/>
    <w:rPr>
      <w:rFonts w:ascii="宋体" w:hAnsi="宋体" w:eastAsia="仿宋" w:cs="Times New Roman"/>
      <w:bCs/>
      <w:sz w:val="24"/>
      <w:szCs w:val="20"/>
    </w:rPr>
  </w:style>
  <w:style w:type="paragraph" w:customStyle="1" w:styleId="53">
    <w:name w:val="表格正文"/>
    <w:basedOn w:val="1"/>
    <w:next w:val="1"/>
    <w:link w:val="54"/>
    <w:qFormat/>
    <w:uiPriority w:val="0"/>
    <w:pPr>
      <w:snapToGrid w:val="0"/>
      <w:jc w:val="center"/>
    </w:pPr>
    <w:rPr>
      <w:rFonts w:ascii="仿宋" w:hAnsi="仿宋" w:eastAsia="仿宋"/>
      <w:color w:val="C45911"/>
      <w:szCs w:val="30"/>
    </w:rPr>
  </w:style>
  <w:style w:type="character" w:customStyle="1" w:styleId="54">
    <w:name w:val="表格正文 Char"/>
    <w:basedOn w:val="39"/>
    <w:link w:val="53"/>
    <w:qFormat/>
    <w:uiPriority w:val="0"/>
    <w:rPr>
      <w:rFonts w:ascii="仿宋" w:hAnsi="仿宋" w:eastAsia="仿宋" w:cs="Times New Roman"/>
      <w:color w:val="C45911"/>
      <w:szCs w:val="30"/>
    </w:rPr>
  </w:style>
  <w:style w:type="paragraph" w:styleId="5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56">
    <w:name w:val="批注框文本 Char"/>
    <w:basedOn w:val="39"/>
    <w:link w:val="23"/>
    <w:qFormat/>
    <w:uiPriority w:val="0"/>
    <w:rPr>
      <w:rFonts w:ascii="Heiti SC Light" w:hAnsi="Times New Roman" w:eastAsia="Heiti SC Light" w:cs="Times New Roman"/>
      <w:sz w:val="18"/>
      <w:szCs w:val="18"/>
    </w:rPr>
  </w:style>
  <w:style w:type="character" w:customStyle="1" w:styleId="57">
    <w:name w:val="event Char"/>
    <w:link w:val="58"/>
    <w:qFormat/>
    <w:locked/>
    <w:uiPriority w:val="0"/>
    <w:rPr>
      <w:rFonts w:ascii="仿宋" w:hAnsi="仿宋" w:eastAsia="仿宋"/>
      <w:sz w:val="28"/>
      <w:szCs w:val="28"/>
    </w:rPr>
  </w:style>
  <w:style w:type="paragraph" w:customStyle="1" w:styleId="58">
    <w:name w:val="event"/>
    <w:basedOn w:val="1"/>
    <w:link w:val="57"/>
    <w:qFormat/>
    <w:uiPriority w:val="0"/>
    <w:pPr>
      <w:ind w:firstLine="482"/>
      <w:outlineLvl w:val="0"/>
    </w:pPr>
    <w:rPr>
      <w:rFonts w:ascii="仿宋" w:hAnsi="仿宋" w:eastAsia="仿宋" w:cstheme="minorBidi"/>
      <w:sz w:val="28"/>
      <w:szCs w:val="28"/>
    </w:rPr>
  </w:style>
  <w:style w:type="paragraph" w:customStyle="1" w:styleId="59">
    <w:name w:val="5-内文"/>
    <w:basedOn w:val="1"/>
    <w:link w:val="60"/>
    <w:qFormat/>
    <w:uiPriority w:val="99"/>
    <w:pPr>
      <w:spacing w:beforeLines="25" w:afterLines="25" w:line="300" w:lineRule="auto"/>
      <w:ind w:firstLine="200" w:firstLineChars="200"/>
    </w:pPr>
    <w:rPr>
      <w:rFonts w:ascii="Calibri" w:hAnsi="Calibri"/>
      <w:kern w:val="0"/>
      <w:sz w:val="28"/>
      <w:szCs w:val="20"/>
    </w:rPr>
  </w:style>
  <w:style w:type="character" w:customStyle="1" w:styleId="60">
    <w:name w:val="5-内文 Char"/>
    <w:link w:val="59"/>
    <w:qFormat/>
    <w:locked/>
    <w:uiPriority w:val="99"/>
    <w:rPr>
      <w:rFonts w:ascii="Calibri" w:hAnsi="Calibri" w:eastAsia="仿宋_GB2312" w:cs="Times New Roman"/>
      <w:kern w:val="0"/>
      <w:sz w:val="28"/>
      <w:szCs w:val="20"/>
    </w:rPr>
  </w:style>
  <w:style w:type="character" w:customStyle="1" w:styleId="61">
    <w:name w:val="标题 4 Char"/>
    <w:basedOn w:val="39"/>
    <w:link w:val="7"/>
    <w:qFormat/>
    <w:uiPriority w:val="0"/>
    <w:rPr>
      <w:rFonts w:asciiTheme="majorHAnsi" w:hAnsiTheme="majorHAnsi" w:eastAsiaTheme="majorEastAsia" w:cstheme="majorBidi"/>
      <w:b/>
      <w:bCs/>
      <w:sz w:val="28"/>
      <w:szCs w:val="28"/>
    </w:rPr>
  </w:style>
  <w:style w:type="character" w:customStyle="1" w:styleId="62">
    <w:name w:val="标题 5 Char"/>
    <w:basedOn w:val="39"/>
    <w:link w:val="8"/>
    <w:qFormat/>
    <w:uiPriority w:val="0"/>
    <w:rPr>
      <w:rFonts w:ascii="仿宋" w:hAnsi="仿宋" w:eastAsia="仿宋" w:cs="仿宋"/>
      <w:b/>
      <w:sz w:val="30"/>
      <w:szCs w:val="30"/>
    </w:rPr>
  </w:style>
  <w:style w:type="character" w:customStyle="1" w:styleId="63">
    <w:name w:val="标题 6 Char"/>
    <w:basedOn w:val="39"/>
    <w:link w:val="10"/>
    <w:qFormat/>
    <w:uiPriority w:val="0"/>
    <w:rPr>
      <w:rFonts w:ascii="仿宋" w:hAnsi="仿宋" w:eastAsia="仿宋" w:cs="仿宋"/>
      <w:kern w:val="0"/>
      <w:sz w:val="20"/>
      <w:szCs w:val="30"/>
    </w:rPr>
  </w:style>
  <w:style w:type="character" w:customStyle="1" w:styleId="64">
    <w:name w:val="标题 7 Char"/>
    <w:basedOn w:val="39"/>
    <w:link w:val="11"/>
    <w:qFormat/>
    <w:uiPriority w:val="0"/>
    <w:rPr>
      <w:rFonts w:ascii="仿宋" w:hAnsi="仿宋" w:eastAsia="仿宋" w:cs="仿宋"/>
      <w:sz w:val="30"/>
      <w:szCs w:val="30"/>
    </w:rPr>
  </w:style>
  <w:style w:type="character" w:customStyle="1" w:styleId="65">
    <w:name w:val="标题 8 Char"/>
    <w:basedOn w:val="39"/>
    <w:link w:val="12"/>
    <w:qFormat/>
    <w:uiPriority w:val="0"/>
    <w:rPr>
      <w:rFonts w:ascii="仿宋" w:hAnsi="仿宋" w:eastAsia="黑体" w:cs="仿宋"/>
      <w:sz w:val="24"/>
      <w:szCs w:val="30"/>
    </w:rPr>
  </w:style>
  <w:style w:type="character" w:customStyle="1" w:styleId="66">
    <w:name w:val="标题 9 Char"/>
    <w:basedOn w:val="39"/>
    <w:link w:val="13"/>
    <w:qFormat/>
    <w:uiPriority w:val="0"/>
    <w:rPr>
      <w:rFonts w:ascii="仿宋" w:hAnsi="仿宋" w:eastAsia="黑体" w:cs="仿宋"/>
      <w:sz w:val="30"/>
      <w:szCs w:val="30"/>
    </w:rPr>
  </w:style>
  <w:style w:type="character" w:customStyle="1" w:styleId="67">
    <w:name w:val="首行缩进 Char"/>
    <w:basedOn w:val="39"/>
    <w:link w:val="9"/>
    <w:qFormat/>
    <w:uiPriority w:val="0"/>
  </w:style>
  <w:style w:type="character" w:customStyle="1" w:styleId="68">
    <w:name w:val="批注文字 Char"/>
    <w:basedOn w:val="39"/>
    <w:link w:val="18"/>
    <w:qFormat/>
    <w:uiPriority w:val="0"/>
  </w:style>
  <w:style w:type="character" w:customStyle="1" w:styleId="69">
    <w:name w:val="批注主题 Char"/>
    <w:basedOn w:val="68"/>
    <w:link w:val="36"/>
    <w:qFormat/>
    <w:uiPriority w:val="0"/>
    <w:rPr>
      <w:b/>
      <w:bCs/>
    </w:rPr>
  </w:style>
  <w:style w:type="character" w:customStyle="1" w:styleId="70">
    <w:name w:val="脚注文本 Char"/>
    <w:basedOn w:val="39"/>
    <w:link w:val="29"/>
    <w:qFormat/>
    <w:uiPriority w:val="0"/>
    <w:rPr>
      <w:kern w:val="0"/>
      <w:sz w:val="18"/>
      <w:szCs w:val="18"/>
    </w:rPr>
  </w:style>
  <w:style w:type="paragraph" w:customStyle="1" w:styleId="71">
    <w:name w:val="列出段落1"/>
    <w:basedOn w:val="1"/>
    <w:link w:val="72"/>
    <w:qFormat/>
    <w:uiPriority w:val="0"/>
    <w:pPr>
      <w:ind w:firstLine="420" w:firstLineChars="200"/>
    </w:pPr>
    <w:rPr>
      <w:rFonts w:asciiTheme="minorHAnsi" w:hAnsiTheme="minorHAnsi" w:eastAsiaTheme="minorEastAsia" w:cstheme="minorBidi"/>
      <w:szCs w:val="22"/>
    </w:rPr>
  </w:style>
  <w:style w:type="character" w:customStyle="1" w:styleId="72">
    <w:name w:val="列出段落 字符"/>
    <w:basedOn w:val="39"/>
    <w:link w:val="71"/>
    <w:qFormat/>
    <w:uiPriority w:val="0"/>
  </w:style>
  <w:style w:type="character" w:customStyle="1" w:styleId="73">
    <w:name w:val="apple-converted-space"/>
    <w:basedOn w:val="39"/>
    <w:qFormat/>
    <w:uiPriority w:val="0"/>
  </w:style>
  <w:style w:type="character" w:customStyle="1" w:styleId="74">
    <w:name w:val="未处理的提及1"/>
    <w:basedOn w:val="39"/>
    <w:unhideWhenUsed/>
    <w:qFormat/>
    <w:uiPriority w:val="99"/>
    <w:rPr>
      <w:color w:val="808080"/>
      <w:shd w:val="clear" w:color="auto" w:fill="E6E6E6"/>
    </w:rPr>
  </w:style>
  <w:style w:type="paragraph" w:customStyle="1" w:styleId="75">
    <w:name w:val="Item List"/>
    <w:basedOn w:val="9"/>
    <w:next w:val="9"/>
    <w:qFormat/>
    <w:uiPriority w:val="0"/>
    <w:pPr>
      <w:numPr>
        <w:ilvl w:val="0"/>
        <w:numId w:val="2"/>
      </w:numPr>
      <w:ind w:firstLine="0" w:firstLineChars="0"/>
    </w:pPr>
    <w:rPr>
      <w:bCs/>
    </w:rPr>
  </w:style>
  <w:style w:type="character" w:customStyle="1" w:styleId="76">
    <w:name w:val="正文缩进 Char"/>
    <w:link w:val="15"/>
    <w:qFormat/>
    <w:uiPriority w:val="0"/>
    <w:rPr>
      <w:rFonts w:ascii="微软雅黑" w:hAnsi="微软雅黑" w:eastAsia="微软雅黑" w:cs="Times New Roman"/>
      <w:kern w:val="0"/>
      <w:szCs w:val="28"/>
    </w:rPr>
  </w:style>
  <w:style w:type="character" w:customStyle="1" w:styleId="77">
    <w:name w:val="文档结构图 Char"/>
    <w:basedOn w:val="39"/>
    <w:link w:val="17"/>
    <w:qFormat/>
    <w:uiPriority w:val="0"/>
    <w:rPr>
      <w:rFonts w:ascii="仿宋" w:hAnsi="仿宋" w:eastAsia="仿宋" w:cs="仿宋"/>
      <w:sz w:val="30"/>
      <w:szCs w:val="30"/>
      <w:shd w:val="clear" w:color="auto" w:fill="000080"/>
    </w:rPr>
  </w:style>
  <w:style w:type="character" w:customStyle="1" w:styleId="78">
    <w:name w:val="日期 Char"/>
    <w:basedOn w:val="39"/>
    <w:link w:val="22"/>
    <w:qFormat/>
    <w:uiPriority w:val="99"/>
    <w:rPr>
      <w:rFonts w:ascii="仿宋" w:hAnsi="仿宋" w:eastAsia="仿宋" w:cs="仿宋"/>
      <w:sz w:val="30"/>
      <w:szCs w:val="30"/>
    </w:rPr>
  </w:style>
  <w:style w:type="character" w:customStyle="1" w:styleId="79">
    <w:name w:val="副标题 Char"/>
    <w:basedOn w:val="39"/>
    <w:link w:val="28"/>
    <w:qFormat/>
    <w:uiPriority w:val="99"/>
    <w:rPr>
      <w:rFonts w:ascii="Cambria" w:hAnsi="Cambria" w:eastAsia="仿宋" w:cs="Times New Roman"/>
      <w:b/>
      <w:kern w:val="28"/>
      <w:sz w:val="32"/>
      <w:szCs w:val="20"/>
    </w:rPr>
  </w:style>
  <w:style w:type="character" w:customStyle="1" w:styleId="80">
    <w:name w:val="标题 Char"/>
    <w:basedOn w:val="39"/>
    <w:link w:val="35"/>
    <w:qFormat/>
    <w:uiPriority w:val="0"/>
    <w:rPr>
      <w:rFonts w:ascii="Cambria" w:hAnsi="Cambria" w:eastAsia="仿宋" w:cs="Times New Roman"/>
      <w:b/>
      <w:bCs/>
      <w:sz w:val="32"/>
      <w:szCs w:val="32"/>
    </w:rPr>
  </w:style>
  <w:style w:type="paragraph" w:customStyle="1" w:styleId="81">
    <w:name w:val="思考题题干"/>
    <w:basedOn w:val="1"/>
    <w:next w:val="82"/>
    <w:qFormat/>
    <w:uiPriority w:val="0"/>
    <w:pPr>
      <w:widowControl/>
      <w:numPr>
        <w:ilvl w:val="0"/>
        <w:numId w:val="3"/>
      </w:numPr>
      <w:jc w:val="left"/>
    </w:pPr>
    <w:rPr>
      <w:rFonts w:ascii="仿宋" w:hAnsi="仿宋" w:eastAsia="仿宋" w:cs="仿宋"/>
      <w:sz w:val="30"/>
    </w:rPr>
  </w:style>
  <w:style w:type="paragraph" w:customStyle="1" w:styleId="82">
    <w:name w:val="思考题答案"/>
    <w:basedOn w:val="9"/>
    <w:qFormat/>
    <w:uiPriority w:val="0"/>
    <w:pPr>
      <w:widowControl/>
      <w:ind w:left="420" w:leftChars="200" w:right="420" w:rightChars="200"/>
      <w:jc w:val="left"/>
    </w:pPr>
    <w:rPr>
      <w:rFonts w:ascii="仿宋" w:hAnsi="仿宋" w:eastAsia="仿宋" w:cs="仿宋"/>
      <w:sz w:val="30"/>
      <w:szCs w:val="30"/>
    </w:rPr>
  </w:style>
  <w:style w:type="paragraph" w:customStyle="1" w:styleId="83">
    <w:name w:val="Figure Text"/>
    <w:qFormat/>
    <w:uiPriority w:val="0"/>
    <w:pPr>
      <w:snapToGrid w:val="0"/>
      <w:jc w:val="center"/>
    </w:pPr>
    <w:rPr>
      <w:rFonts w:ascii="Arial" w:hAnsi="Arial" w:eastAsia="楷体_GB2312" w:cs="Times New Roman"/>
      <w:sz w:val="18"/>
      <w:lang w:val="en-US" w:eastAsia="zh-CN" w:bidi="ar-SA"/>
    </w:rPr>
  </w:style>
  <w:style w:type="paragraph" w:customStyle="1" w:styleId="84">
    <w:name w:val="Table Description"/>
    <w:next w:val="9"/>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5">
    <w:name w:val="Table Heading"/>
    <w:qFormat/>
    <w:uiPriority w:val="0"/>
    <w:pPr>
      <w:jc w:val="center"/>
    </w:pPr>
    <w:rPr>
      <w:rFonts w:ascii="Arial" w:hAnsi="Arial" w:eastAsia="黑体" w:cs="Times New Roman"/>
      <w:b/>
      <w:sz w:val="18"/>
      <w:lang w:val="en-US" w:eastAsia="zh-CN" w:bidi="ar-SA"/>
    </w:rPr>
  </w:style>
  <w:style w:type="paragraph" w:customStyle="1" w:styleId="86">
    <w:name w:val="Table Text"/>
    <w:qFormat/>
    <w:uiPriority w:val="0"/>
    <w:pPr>
      <w:autoSpaceDE w:val="0"/>
      <w:autoSpaceDN w:val="0"/>
      <w:jc w:val="center"/>
      <w:textAlignment w:val="bottom"/>
    </w:pPr>
    <w:rPr>
      <w:rFonts w:ascii="Arial" w:hAnsi="Arial" w:eastAsia="宋体" w:cs="Times New Roman"/>
      <w:sz w:val="18"/>
      <w:lang w:val="en-US" w:eastAsia="zh-CN" w:bidi="ar-SA"/>
    </w:rPr>
  </w:style>
  <w:style w:type="paragraph" w:customStyle="1" w:styleId="87">
    <w:name w:val="Figure Description"/>
    <w:next w:val="9"/>
    <w:qFormat/>
    <w:uiPriority w:val="0"/>
    <w:pPr>
      <w:snapToGrid w:val="0"/>
      <w:spacing w:after="160"/>
      <w:jc w:val="center"/>
    </w:pPr>
    <w:rPr>
      <w:rFonts w:ascii="Arial" w:hAnsi="Arial" w:eastAsia="黑体" w:cs="Arial"/>
      <w:kern w:val="2"/>
      <w:sz w:val="18"/>
      <w:szCs w:val="21"/>
      <w:lang w:val="en-US" w:eastAsia="zh-CN" w:bidi="ar-SA"/>
    </w:rPr>
  </w:style>
  <w:style w:type="paragraph" w:customStyle="1" w:styleId="88">
    <w:name w:val="Notes Heading"/>
    <w:basedOn w:val="1"/>
    <w:next w:val="89"/>
    <w:qFormat/>
    <w:uiPriority w:val="0"/>
    <w:pPr>
      <w:widowControl/>
      <w:pBdr>
        <w:top w:val="single" w:color="auto" w:sz="8" w:space="5"/>
      </w:pBdr>
      <w:jc w:val="left"/>
    </w:pPr>
    <w:rPr>
      <w:rFonts w:ascii="仿宋" w:hAnsi="仿宋" w:eastAsia="楷体_GB2312" w:cs="仿宋"/>
      <w:b/>
      <w:sz w:val="30"/>
      <w:szCs w:val="30"/>
    </w:rPr>
  </w:style>
  <w:style w:type="paragraph" w:customStyle="1" w:styleId="89">
    <w:name w:val="Notes Text"/>
    <w:basedOn w:val="1"/>
    <w:qFormat/>
    <w:uiPriority w:val="0"/>
    <w:pPr>
      <w:widowControl/>
      <w:pBdr>
        <w:bottom w:val="single" w:color="auto" w:sz="8" w:space="5"/>
      </w:pBdr>
      <w:ind w:firstLine="420"/>
      <w:jc w:val="left"/>
    </w:pPr>
    <w:rPr>
      <w:rFonts w:ascii="仿宋" w:hAnsi="仿宋" w:eastAsia="楷体_GB2312" w:cs="仿宋"/>
      <w:sz w:val="30"/>
      <w:szCs w:val="30"/>
    </w:rPr>
  </w:style>
  <w:style w:type="paragraph" w:customStyle="1" w:styleId="90">
    <w:name w:val="Command"/>
    <w:basedOn w:val="1"/>
    <w:qFormat/>
    <w:uiPriority w:val="0"/>
    <w:pPr>
      <w:widowControl/>
      <w:ind w:left="400" w:leftChars="400"/>
      <w:jc w:val="left"/>
    </w:pPr>
    <w:rPr>
      <w:rFonts w:ascii="仿宋" w:hAnsi="仿宋" w:eastAsia="仿宋" w:cs="仿宋"/>
      <w:kern w:val="0"/>
      <w:sz w:val="20"/>
      <w:szCs w:val="30"/>
    </w:rPr>
  </w:style>
  <w:style w:type="paragraph" w:customStyle="1" w:styleId="91">
    <w:name w:val="Terminal Dispaly"/>
    <w:qFormat/>
    <w:uiPriority w:val="0"/>
    <w:pPr>
      <w:widowControl w:val="0"/>
      <w:spacing w:line="0" w:lineRule="atLeast"/>
      <w:ind w:left="680"/>
    </w:pPr>
    <w:rPr>
      <w:rFonts w:ascii="Courier New" w:hAnsi="Courier New" w:eastAsia="宋体" w:cs="Times New Roman"/>
      <w:sz w:val="17"/>
      <w:lang w:val="en-US" w:eastAsia="zh-CN" w:bidi="ar-SA"/>
    </w:rPr>
  </w:style>
  <w:style w:type="paragraph" w:customStyle="1" w:styleId="92">
    <w:name w:val="figure"/>
    <w:basedOn w:val="1"/>
    <w:next w:val="87"/>
    <w:qFormat/>
    <w:uiPriority w:val="0"/>
    <w:pPr>
      <w:keepNext/>
      <w:widowControl/>
      <w:jc w:val="left"/>
    </w:pPr>
    <w:rPr>
      <w:rFonts w:ascii="仿宋" w:hAnsi="仿宋" w:eastAsia="仿宋" w:cs="仿宋"/>
      <w:sz w:val="30"/>
      <w:szCs w:val="30"/>
    </w:rPr>
  </w:style>
  <w:style w:type="character" w:customStyle="1" w:styleId="93">
    <w:name w:val="command keywords"/>
    <w:qFormat/>
    <w:uiPriority w:val="0"/>
    <w:rPr>
      <w:rFonts w:ascii="Arial" w:hAnsi="Arial" w:eastAsia="宋体"/>
      <w:b/>
      <w:color w:val="000000"/>
      <w:sz w:val="21"/>
    </w:rPr>
  </w:style>
  <w:style w:type="character" w:customStyle="1" w:styleId="94">
    <w:name w:val="command parameter"/>
    <w:qFormat/>
    <w:uiPriority w:val="0"/>
    <w:rPr>
      <w:rFonts w:ascii="Arial" w:hAnsi="Arial" w:eastAsia="宋体"/>
      <w:i/>
      <w:color w:val="000000"/>
      <w:sz w:val="21"/>
    </w:rPr>
  </w:style>
  <w:style w:type="paragraph" w:customStyle="1" w:styleId="95">
    <w:name w:val="缩略词表"/>
    <w:basedOn w:val="86"/>
    <w:qFormat/>
    <w:uiPriority w:val="0"/>
    <w:pPr>
      <w:jc w:val="left"/>
    </w:pPr>
  </w:style>
  <w:style w:type="paragraph" w:customStyle="1" w:styleId="96">
    <w:name w:val="幻灯居中"/>
    <w:basedOn w:val="1"/>
    <w:next w:val="9"/>
    <w:qFormat/>
    <w:uiPriority w:val="0"/>
    <w:pPr>
      <w:widowControl/>
      <w:jc w:val="left"/>
    </w:pPr>
    <w:rPr>
      <w:rFonts w:ascii="仿宋" w:hAnsi="仿宋" w:eastAsia="仿宋" w:cs="仿宋"/>
      <w:sz w:val="30"/>
      <w:szCs w:val="30"/>
    </w:rPr>
  </w:style>
  <w:style w:type="paragraph" w:customStyle="1" w:styleId="97">
    <w:name w:val="Notes Text Item"/>
    <w:basedOn w:val="89"/>
    <w:next w:val="89"/>
    <w:qFormat/>
    <w:uiPriority w:val="0"/>
    <w:pPr>
      <w:numPr>
        <w:ilvl w:val="0"/>
        <w:numId w:val="4"/>
      </w:numPr>
      <w:tabs>
        <w:tab w:val="clear" w:pos="1657"/>
      </w:tabs>
      <w:ind w:left="397" w:firstLine="200"/>
    </w:pPr>
  </w:style>
  <w:style w:type="paragraph" w:customStyle="1" w:styleId="98">
    <w:name w:val="Numbered Item List"/>
    <w:basedOn w:val="75"/>
    <w:qFormat/>
    <w:uiPriority w:val="0"/>
    <w:pPr>
      <w:widowControl/>
      <w:numPr>
        <w:numId w:val="5"/>
      </w:numPr>
      <w:tabs>
        <w:tab w:val="left" w:pos="845"/>
      </w:tabs>
    </w:pPr>
    <w:rPr>
      <w:rFonts w:ascii="仿宋" w:hAnsi="仿宋" w:eastAsia="Arial" w:cs="仿宋"/>
      <w:sz w:val="30"/>
      <w:szCs w:val="30"/>
    </w:rPr>
  </w:style>
  <w:style w:type="paragraph" w:customStyle="1" w:styleId="99">
    <w:name w:val="sub item list"/>
    <w:basedOn w:val="9"/>
    <w:next w:val="9"/>
    <w:qFormat/>
    <w:uiPriority w:val="0"/>
    <w:pPr>
      <w:widowControl/>
      <w:numPr>
        <w:ilvl w:val="0"/>
        <w:numId w:val="6"/>
      </w:numPr>
      <w:tabs>
        <w:tab w:val="left" w:pos="1155"/>
        <w:tab w:val="clear" w:pos="1260"/>
      </w:tabs>
      <w:ind w:firstLine="0" w:firstLineChars="0"/>
      <w:jc w:val="left"/>
    </w:pPr>
    <w:rPr>
      <w:rFonts w:ascii="仿宋" w:hAnsi="仿宋" w:eastAsia="仿宋" w:cs="仿宋"/>
      <w:sz w:val="30"/>
      <w:szCs w:val="30"/>
    </w:rPr>
  </w:style>
  <w:style w:type="paragraph" w:customStyle="1" w:styleId="10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1">
    <w:name w:val="编号"/>
    <w:basedOn w:val="71"/>
    <w:qFormat/>
    <w:uiPriority w:val="0"/>
    <w:pPr>
      <w:tabs>
        <w:tab w:val="left" w:pos="840"/>
      </w:tabs>
      <w:spacing w:line="288" w:lineRule="auto"/>
      <w:ind w:left="840" w:firstLine="0" w:firstLineChars="0"/>
      <w:jc w:val="left"/>
    </w:pPr>
    <w:rPr>
      <w:rFonts w:ascii="Calibri" w:hAnsi="Calibri" w:eastAsia="仿宋" w:cs="Calibri"/>
      <w:szCs w:val="24"/>
    </w:rPr>
  </w:style>
  <w:style w:type="character" w:customStyle="1" w:styleId="102">
    <w:name w:val="标题 Char1"/>
    <w:basedOn w:val="39"/>
    <w:qFormat/>
    <w:uiPriority w:val="0"/>
    <w:rPr>
      <w:rFonts w:asciiTheme="majorHAnsi" w:hAnsiTheme="majorHAnsi" w:cstheme="majorBidi"/>
      <w:b/>
      <w:bCs/>
      <w:kern w:val="2"/>
      <w:sz w:val="32"/>
      <w:szCs w:val="32"/>
    </w:rPr>
  </w:style>
  <w:style w:type="character" w:customStyle="1" w:styleId="103">
    <w:name w:val="@他1"/>
    <w:basedOn w:val="39"/>
    <w:unhideWhenUsed/>
    <w:qFormat/>
    <w:uiPriority w:val="99"/>
    <w:rPr>
      <w:color w:val="2B579A"/>
      <w:shd w:val="clear" w:color="auto" w:fill="E6E6E6"/>
    </w:rPr>
  </w:style>
  <w:style w:type="paragraph" w:customStyle="1" w:styleId="104">
    <w:name w:val="常规"/>
    <w:basedOn w:val="1"/>
    <w:link w:val="105"/>
    <w:qFormat/>
    <w:uiPriority w:val="0"/>
    <w:pPr>
      <w:spacing w:beforeLines="100" w:afterLines="100"/>
      <w:ind w:left="1701"/>
    </w:pPr>
    <w:rPr>
      <w:rFonts w:ascii="微软雅黑" w:hAnsi="微软雅黑" w:eastAsia="微软雅黑"/>
      <w:kern w:val="0"/>
      <w:sz w:val="20"/>
      <w:szCs w:val="21"/>
      <w:lang w:val="zh-CN"/>
    </w:rPr>
  </w:style>
  <w:style w:type="character" w:customStyle="1" w:styleId="105">
    <w:name w:val="常规 Char"/>
    <w:link w:val="104"/>
    <w:qFormat/>
    <w:uiPriority w:val="0"/>
    <w:rPr>
      <w:rFonts w:ascii="微软雅黑" w:hAnsi="微软雅黑" w:eastAsia="微软雅黑" w:cs="Times New Roman"/>
      <w:kern w:val="0"/>
      <w:sz w:val="20"/>
      <w:szCs w:val="21"/>
      <w:lang w:val="zh-CN"/>
    </w:rPr>
  </w:style>
  <w:style w:type="paragraph" w:customStyle="1" w:styleId="106">
    <w:name w:val="列出段落2"/>
    <w:basedOn w:val="1"/>
    <w:qFormat/>
    <w:uiPriority w:val="99"/>
    <w:pPr>
      <w:widowControl/>
      <w:ind w:firstLine="420" w:firstLineChars="200"/>
      <w:jc w:val="left"/>
    </w:pPr>
    <w:rPr>
      <w:rFonts w:ascii="仿宋" w:hAnsi="仿宋" w:eastAsia="仿宋" w:cs="仿宋"/>
      <w:sz w:val="30"/>
      <w:szCs w:val="30"/>
    </w:rPr>
  </w:style>
  <w:style w:type="paragraph" w:customStyle="1" w:styleId="107">
    <w:name w:val="列出段落3"/>
    <w:basedOn w:val="1"/>
    <w:qFormat/>
    <w:uiPriority w:val="99"/>
    <w:pPr>
      <w:widowControl/>
      <w:ind w:firstLine="420" w:firstLineChars="200"/>
      <w:jc w:val="left"/>
    </w:pPr>
    <w:rPr>
      <w:rFonts w:ascii="仿宋" w:hAnsi="仿宋" w:eastAsia="仿宋" w:cs="仿宋"/>
      <w:sz w:val="30"/>
      <w:szCs w:val="30"/>
    </w:rPr>
  </w:style>
  <w:style w:type="character" w:customStyle="1" w:styleId="108">
    <w:name w:val="None"/>
    <w:qFormat/>
    <w:uiPriority w:val="0"/>
  </w:style>
  <w:style w:type="character" w:customStyle="1" w:styleId="109">
    <w:name w:val="Hyperlink.0"/>
    <w:basedOn w:val="108"/>
    <w:qFormat/>
    <w:uiPriority w:val="0"/>
    <w:rPr>
      <w:lang w:val="en-US"/>
    </w:rPr>
  </w:style>
  <w:style w:type="paragraph" w:customStyle="1" w:styleId="110">
    <w:name w:val="Body"/>
    <w:qFormat/>
    <w:uiPriority w:val="0"/>
    <w:rPr>
      <w:rFonts w:ascii="Helvetica" w:hAnsi="Helvetica" w:eastAsia="Helvetica" w:cs="Helvetica"/>
      <w:color w:val="000000"/>
      <w:sz w:val="22"/>
      <w:szCs w:val="22"/>
      <w:lang w:val="en-US" w:eastAsia="zh-CN" w:bidi="ar-SA"/>
    </w:rPr>
  </w:style>
  <w:style w:type="paragraph" w:customStyle="1" w:styleId="111">
    <w:name w:val="列出段落4"/>
    <w:basedOn w:val="1"/>
    <w:qFormat/>
    <w:uiPriority w:val="99"/>
    <w:pPr>
      <w:widowControl/>
      <w:ind w:firstLine="420" w:firstLineChars="200"/>
      <w:jc w:val="left"/>
    </w:pPr>
    <w:rPr>
      <w:rFonts w:ascii="仿宋" w:hAnsi="仿宋" w:eastAsia="仿宋" w:cs="仿宋"/>
      <w:sz w:val="30"/>
      <w:szCs w:val="30"/>
    </w:rPr>
  </w:style>
  <w:style w:type="paragraph" w:customStyle="1" w:styleId="112">
    <w:name w:val="列出段落5"/>
    <w:basedOn w:val="1"/>
    <w:qFormat/>
    <w:uiPriority w:val="0"/>
    <w:pPr>
      <w:widowControl/>
      <w:ind w:firstLine="420" w:firstLineChars="200"/>
      <w:jc w:val="left"/>
    </w:pPr>
    <w:rPr>
      <w:rFonts w:ascii="仿宋" w:hAnsi="仿宋" w:eastAsia="仿宋" w:cs="仿宋"/>
      <w:sz w:val="30"/>
      <w:szCs w:val="30"/>
    </w:rPr>
  </w:style>
  <w:style w:type="paragraph" w:customStyle="1" w:styleId="113">
    <w:name w:val="列出段落6"/>
    <w:basedOn w:val="1"/>
    <w:qFormat/>
    <w:uiPriority w:val="34"/>
    <w:pPr>
      <w:widowControl/>
      <w:ind w:firstLine="420" w:firstLineChars="200"/>
      <w:jc w:val="left"/>
    </w:pPr>
    <w:rPr>
      <w:rFonts w:ascii="仿宋" w:hAnsi="仿宋" w:eastAsia="仿宋" w:cs="仿宋"/>
      <w:sz w:val="30"/>
      <w:szCs w:val="30"/>
    </w:rPr>
  </w:style>
  <w:style w:type="table" w:customStyle="1" w:styleId="114">
    <w:name w:val="网格型1"/>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5">
    <w:name w:val="浅色底纹 - 强调文字颜色 11"/>
    <w:qFormat/>
    <w:uiPriority w:val="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16">
    <w:name w:val="TableGrid"/>
    <w:qFormat/>
    <w:uiPriority w:val="0"/>
    <w:rPr>
      <w:rFonts w:ascii="Calibri" w:hAnsi="Calibri"/>
    </w:rPr>
    <w:tblPr>
      <w:tblCellMar>
        <w:top w:w="0" w:type="dxa"/>
        <w:left w:w="0" w:type="dxa"/>
        <w:bottom w:w="0" w:type="dxa"/>
        <w:right w:w="0" w:type="dxa"/>
      </w:tblCellMar>
    </w:tblPr>
  </w:style>
  <w:style w:type="table" w:customStyle="1" w:styleId="117">
    <w:name w:val="网格型2"/>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网格型3"/>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9">
    <w:name w:val="未处理的提及2"/>
    <w:basedOn w:val="39"/>
    <w:semiHidden/>
    <w:unhideWhenUsed/>
    <w:qFormat/>
    <w:uiPriority w:val="99"/>
    <w:rPr>
      <w:color w:val="605E5C"/>
      <w:shd w:val="clear" w:color="auto" w:fill="E1DFDD"/>
    </w:rPr>
  </w:style>
  <w:style w:type="character" w:customStyle="1" w:styleId="120">
    <w:name w:val="font11"/>
    <w:basedOn w:val="39"/>
    <w:qFormat/>
    <w:uiPriority w:val="0"/>
    <w:rPr>
      <w:rFonts w:hint="default" w:ascii="仿宋_GB2312" w:eastAsia="仿宋_GB2312" w:cs="仿宋_GB2312"/>
      <w:b/>
      <w:bCs/>
      <w:color w:val="000000"/>
      <w:sz w:val="21"/>
      <w:szCs w:val="21"/>
      <w:u w:val="none"/>
    </w:rPr>
  </w:style>
  <w:style w:type="table" w:customStyle="1" w:styleId="121">
    <w:name w:val="网格型4"/>
    <w:basedOn w:val="37"/>
    <w:qFormat/>
    <w:uiPriority w:val="0"/>
    <w:pPr>
      <w:spacing w:line="300" w:lineRule="auto"/>
      <w:jc w:val="center"/>
      <w:textAlignment w:val="center"/>
    </w:pPr>
    <w:rPr>
      <w:rFonts w:ascii="Arial" w:hAnsi="Arial"/>
      <w:sz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jc w:val="center"/>
      </w:pPr>
      <w:rPr>
        <w:rFonts w:ascii="Arial" w:hAnsi="Arial" w:eastAsia="黑体"/>
        <w:b/>
        <w:sz w:val="18"/>
      </w:rPr>
      <w:tcPr>
        <w:vAlign w:val="center"/>
      </w:tcPr>
    </w:tblStylePr>
  </w:style>
  <w:style w:type="table" w:customStyle="1" w:styleId="122">
    <w:name w:val="网格型5"/>
    <w:basedOn w:val="37"/>
    <w:qFormat/>
    <w:uiPriority w:val="0"/>
    <w:pPr>
      <w:spacing w:line="300" w:lineRule="auto"/>
      <w:jc w:val="center"/>
      <w:textAlignment w:val="center"/>
    </w:pPr>
    <w:rPr>
      <w:rFonts w:ascii="Arial" w:hAnsi="Arial"/>
      <w:sz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jc w:val="center"/>
      </w:pPr>
      <w:rPr>
        <w:rFonts w:ascii="Arial" w:hAnsi="Arial" w:eastAsia="黑体"/>
        <w:b/>
        <w:sz w:val="18"/>
      </w:rPr>
      <w:tcPr>
        <w:vAlign w:val="center"/>
      </w:tcPr>
    </w:tblStylePr>
  </w:style>
  <w:style w:type="table" w:customStyle="1" w:styleId="123">
    <w:name w:val="网格型6"/>
    <w:basedOn w:val="3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5">
    <w:name w:val="浅色底纹 - 强调文字颜色 111"/>
    <w:qFormat/>
    <w:uiPriority w:val="0"/>
    <w:rPr>
      <w:rFonts w:ascii="Calibri" w:hAnsi="Calibri"/>
      <w:color w:val="365F91"/>
    </w:rPr>
    <w:tblPr>
      <w:tblBorders>
        <w:top w:val="single" w:color="4F81BD" w:sz="8" w:space="0"/>
        <w:bottom w:val="single" w:color="4F81BD" w:sz="8" w:space="0"/>
      </w:tblBorders>
      <w:tblCellMar>
        <w:top w:w="0" w:type="dxa"/>
        <w:left w:w="108" w:type="dxa"/>
        <w:bottom w:w="0" w:type="dxa"/>
        <w:right w:w="108" w:type="dxa"/>
      </w:tblCellMar>
    </w:tblPr>
  </w:style>
  <w:style w:type="table" w:customStyle="1" w:styleId="126">
    <w:name w:val="TableGrid1"/>
    <w:qFormat/>
    <w:uiPriority w:val="0"/>
    <w:rPr>
      <w:rFonts w:ascii="Calibri" w:hAnsi="Calibri"/>
    </w:rPr>
    <w:tblPr>
      <w:tblCellMar>
        <w:top w:w="0" w:type="dxa"/>
        <w:left w:w="0" w:type="dxa"/>
        <w:bottom w:w="0" w:type="dxa"/>
        <w:right w:w="0" w:type="dxa"/>
      </w:tblCellMar>
    </w:tblPr>
  </w:style>
  <w:style w:type="table" w:customStyle="1" w:styleId="127">
    <w:name w:val="网格型21"/>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8">
    <w:name w:val="网格型31"/>
    <w:basedOn w:val="3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9">
    <w:name w:val="网格型41"/>
    <w:basedOn w:val="37"/>
    <w:qFormat/>
    <w:uiPriority w:val="0"/>
    <w:pPr>
      <w:spacing w:line="300" w:lineRule="auto"/>
      <w:jc w:val="center"/>
      <w:textAlignment w:val="center"/>
    </w:pPr>
    <w:rPr>
      <w:rFonts w:ascii="Arial" w:hAnsi="Arial"/>
      <w:sz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vAlign w:val="center"/>
    </w:tcPr>
    <w:tblStylePr w:type="firstRow">
      <w:pPr>
        <w:jc w:val="center"/>
      </w:pPr>
      <w:rPr>
        <w:rFonts w:ascii="Arial" w:hAnsi="Arial" w:eastAsia="黑体"/>
        <w:b/>
        <w:sz w:val="18"/>
      </w:rPr>
      <w:tcPr>
        <w:vAlign w:val="center"/>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Manager>任超</Manager>
  <Company>中锐网络</Company>
  <Pages>14</Pages>
  <Words>1507</Words>
  <Characters>8594</Characters>
  <Lines>71</Lines>
  <Paragraphs>20</Paragraphs>
  <TotalTime>4</TotalTime>
  <ScaleCrop>false</ScaleCrop>
  <LinksUpToDate>false</LinksUpToDate>
  <CharactersWithSpaces>10081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2021-09-28T16:13:00Z</dcterms:created>
  <dc:creator>任超</dc:creator>
  <cp:lastModifiedBy>难得用心！</cp:lastModifiedBy>
  <cp:lastPrinted>2018-09-18T00:13:00Z</cp:lastPrinted>
  <dcterms:modified xsi:type="dcterms:W3CDTF">2023-11-09T14:26:19Z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81A0BDA2956B41F99EEDD17A4AD25DFC_13</vt:lpwstr>
  </property>
</Properties>
</file>