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方正小标宋简体" w:hAnsi="方正小标宋简体" w:eastAsia="方正小标宋简体" w:cs="方正小标宋简体"/>
          <w:color w:val="000000"/>
          <w:kern w:val="0"/>
          <w:sz w:val="28"/>
          <w:szCs w:val="28"/>
          <w:highlight w:val="none"/>
          <w:lang w:val="en-US" w:eastAsia="zh-CN" w:bidi="ar"/>
        </w:rPr>
      </w:pPr>
      <w:r>
        <w:rPr>
          <w:rFonts w:ascii="方正小标宋简体" w:hAnsi="方正小标宋简体" w:eastAsia="方正小标宋简体" w:cs="方正小标宋简体"/>
          <w:color w:val="000000"/>
          <w:kern w:val="0"/>
          <w:sz w:val="28"/>
          <w:szCs w:val="28"/>
          <w:highlight w:val="none"/>
          <w:lang w:val="en-US" w:eastAsia="zh-CN" w:bidi="ar"/>
        </w:rPr>
        <w:t>第十六届山东省职业院校技能大赛</w:t>
      </w:r>
    </w:p>
    <w:p>
      <w:pPr>
        <w:keepNext w:val="0"/>
        <w:keepLines w:val="0"/>
        <w:widowControl/>
        <w:suppressLineNumbers w:val="0"/>
        <w:jc w:val="center"/>
        <w:rPr>
          <w:sz w:val="28"/>
          <w:szCs w:val="28"/>
          <w:highlight w:val="none"/>
        </w:rPr>
      </w:pPr>
      <w:r>
        <w:rPr>
          <w:rFonts w:hint="eastAsia" w:ascii="方正小标宋简体" w:hAnsi="方正小标宋简体" w:eastAsia="方正小标宋简体" w:cs="方正小标宋简体"/>
          <w:color w:val="000000"/>
          <w:kern w:val="0"/>
          <w:sz w:val="28"/>
          <w:szCs w:val="28"/>
          <w:highlight w:val="none"/>
          <w:lang w:val="en-US" w:eastAsia="zh-CN" w:bidi="ar"/>
        </w:rPr>
        <w:t>高职组“汽车故障检修”赛项规程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sz w:val="24"/>
          <w:szCs w:val="24"/>
          <w:highlight w:val="none"/>
        </w:rPr>
      </w:pPr>
      <w:r>
        <w:rPr>
          <w:rFonts w:ascii="黑体" w:hAnsi="宋体" w:eastAsia="黑体" w:cs="黑体"/>
          <w:color w:val="000000"/>
          <w:kern w:val="0"/>
          <w:sz w:val="24"/>
          <w:szCs w:val="24"/>
          <w:highlight w:val="none"/>
          <w:lang w:val="en-US" w:eastAsia="zh-CN" w:bidi="ar"/>
        </w:rPr>
        <w:t xml:space="preserve">一、赛项名称 </w:t>
      </w:r>
    </w:p>
    <w:p>
      <w:pPr>
        <w:pStyle w:val="5"/>
        <w:spacing w:line="360" w:lineRule="auto"/>
        <w:ind w:firstLine="480" w:firstLineChars="200"/>
        <w:jc w:val="left"/>
        <w:rPr>
          <w:rFonts w:hint="default"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Cs/>
          <w:sz w:val="24"/>
          <w:szCs w:val="24"/>
          <w:highlight w:val="none"/>
        </w:rPr>
        <w:t>赛项</w:t>
      </w:r>
      <w:bookmarkStart w:id="0" w:name="_Hlk3816826"/>
      <w:r>
        <w:rPr>
          <w:rFonts w:hint="eastAsia" w:ascii="仿宋_GB2312" w:hAnsi="仿宋_GB2312" w:eastAsia="仿宋_GB2312" w:cs="仿宋_GB2312"/>
          <w:bCs/>
          <w:sz w:val="24"/>
          <w:szCs w:val="24"/>
          <w:highlight w:val="none"/>
        </w:rPr>
        <w:t>名称：</w:t>
      </w:r>
      <w:bookmarkEnd w:id="0"/>
      <w:r>
        <w:rPr>
          <w:rFonts w:hint="eastAsia" w:ascii="仿宋_GB2312" w:hAnsi="仿宋_GB2312" w:eastAsia="仿宋_GB2312" w:cs="仿宋_GB2312"/>
          <w:bCs/>
          <w:sz w:val="24"/>
          <w:szCs w:val="24"/>
          <w:highlight w:val="none"/>
        </w:rPr>
        <w:t>汽车</w:t>
      </w:r>
      <w:r>
        <w:rPr>
          <w:rFonts w:hint="eastAsia" w:ascii="仿宋_GB2312" w:hAnsi="仿宋_GB2312" w:eastAsia="仿宋_GB2312" w:cs="仿宋_GB2312"/>
          <w:bCs/>
          <w:sz w:val="24"/>
          <w:szCs w:val="24"/>
          <w:highlight w:val="none"/>
          <w:lang w:val="en-US" w:eastAsia="zh-CN"/>
        </w:rPr>
        <w:t>故障检修</w:t>
      </w:r>
    </w:p>
    <w:p>
      <w:pPr>
        <w:pStyle w:val="5"/>
        <w:spacing w:line="360" w:lineRule="auto"/>
        <w:ind w:firstLine="480" w:firstLineChars="200"/>
        <w:jc w:val="left"/>
        <w:rPr>
          <w:rFonts w:hint="eastAsia" w:ascii="仿宋_GB2312" w:hAnsi="仿宋_GB2312" w:eastAsia="仿宋_GB2312" w:cs="仿宋_GB2312"/>
          <w:bCs/>
          <w:sz w:val="24"/>
          <w:szCs w:val="24"/>
          <w:highlight w:val="none"/>
          <w:lang w:eastAsia="zh-CN"/>
        </w:rPr>
      </w:pPr>
      <w:r>
        <w:rPr>
          <w:rFonts w:hint="eastAsia" w:ascii="仿宋_GB2312" w:hAnsi="仿宋_GB2312" w:eastAsia="仿宋_GB2312" w:cs="仿宋_GB2312"/>
          <w:bCs/>
          <w:sz w:val="24"/>
          <w:szCs w:val="24"/>
          <w:highlight w:val="none"/>
        </w:rPr>
        <w:t>赛项组别：高职组</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教师赛</w:t>
      </w:r>
      <w:r>
        <w:rPr>
          <w:rFonts w:hint="eastAsia" w:ascii="仿宋_GB2312" w:hAnsi="仿宋_GB2312" w:eastAsia="仿宋_GB2312" w:cs="仿宋_GB2312"/>
          <w:bCs/>
          <w:sz w:val="24"/>
          <w:szCs w:val="24"/>
          <w:highlight w:val="none"/>
          <w:lang w:eastAsia="zh-CN"/>
        </w:rPr>
        <w:t>）</w:t>
      </w:r>
    </w:p>
    <w:p>
      <w:pPr>
        <w:keepNext w:val="0"/>
        <w:keepLines w:val="0"/>
        <w:widowControl/>
        <w:suppressLineNumbers w:val="0"/>
        <w:spacing w:line="360" w:lineRule="auto"/>
        <w:ind w:firstLine="480"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sz w:val="24"/>
          <w:szCs w:val="24"/>
          <w:highlight w:val="none"/>
          <w:lang w:val="en-US" w:eastAsia="zh-CN"/>
        </w:rPr>
        <w:t>专业大类</w:t>
      </w:r>
      <w:r>
        <w:rPr>
          <w:rFonts w:hint="eastAsia" w:ascii="仿宋_GB2312" w:hAnsi="仿宋_GB2312" w:eastAsia="仿宋_GB2312" w:cs="仿宋_GB2312"/>
          <w:bCs/>
          <w:sz w:val="24"/>
          <w:szCs w:val="24"/>
          <w:highlight w:val="none"/>
        </w:rPr>
        <w:t>：</w:t>
      </w:r>
      <w:r>
        <w:rPr>
          <w:rFonts w:hint="eastAsia" w:ascii="仿宋_GB2312" w:hAnsi="仿宋_GB2312" w:eastAsia="仿宋_GB2312" w:cs="仿宋_GB2312"/>
          <w:bCs/>
          <w:sz w:val="24"/>
          <w:szCs w:val="24"/>
          <w:highlight w:val="none"/>
          <w:lang w:val="en-US" w:eastAsia="zh-CN"/>
        </w:rPr>
        <w:t>交通运输</w:t>
      </w:r>
      <w:r>
        <w:rPr>
          <w:rFonts w:hint="eastAsia" w:ascii="仿宋_GB2312" w:hAnsi="仿宋_GB2312" w:eastAsia="仿宋_GB2312" w:cs="仿宋_GB2312"/>
          <w:bCs/>
          <w:sz w:val="24"/>
          <w:szCs w:val="24"/>
          <w:highlight w:val="none"/>
        </w:rPr>
        <w:t>大类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二、竞赛目的</w:t>
      </w:r>
    </w:p>
    <w:p>
      <w:pPr>
        <w:pStyle w:val="5"/>
        <w:spacing w:line="360" w:lineRule="auto"/>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为贯彻党的二十大“加快建设交通强国”的决策部署，推动落实《国家职业教育改革实施方案》，加快职业教育制度创新，</w:t>
      </w:r>
      <w:r>
        <w:rPr>
          <w:rFonts w:hint="eastAsia" w:ascii="仿宋_GB2312" w:hAnsi="仿宋_GB2312" w:eastAsia="仿宋_GB2312" w:cs="仿宋_GB2312"/>
          <w:bCs/>
          <w:sz w:val="24"/>
          <w:szCs w:val="24"/>
          <w:highlight w:val="none"/>
          <w:lang w:val="en-US" w:eastAsia="zh-CN"/>
        </w:rPr>
        <w:t>改革职业院校对教师高技能要求，</w:t>
      </w:r>
      <w:r>
        <w:rPr>
          <w:rFonts w:hint="eastAsia" w:ascii="仿宋_GB2312" w:hAnsi="仿宋_GB2312" w:eastAsia="仿宋_GB2312" w:cs="仿宋_GB2312"/>
          <w:bCs/>
          <w:sz w:val="24"/>
          <w:szCs w:val="24"/>
          <w:highlight w:val="none"/>
        </w:rPr>
        <w:t>落实立德树人根本任务，培养具备“行业特质、爱国情怀、中国精神、国际视野”的综合型技术技能人才、能工巧匠、大国工匠。</w:t>
      </w:r>
    </w:p>
    <w:p>
      <w:pPr>
        <w:pStyle w:val="5"/>
        <w:spacing w:line="360" w:lineRule="auto"/>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本赛项结合《新能源汽车产业发展规划（2021—2035年）》的目标要求，彰显中国职教特色，优化企业参与机制，服务汽车经济社会“购买管理”向“使用管理”转化，对接汽车“新四化”、新技术、新工艺、新能源，融入新的科技成果和企业技术，推动职业教育提档升级，办成国际水准的高水平技能赛事。</w:t>
      </w:r>
    </w:p>
    <w:p>
      <w:pPr>
        <w:pStyle w:val="5"/>
        <w:spacing w:line="360" w:lineRule="auto"/>
        <w:ind w:firstLine="480" w:firstLineChars="200"/>
        <w:jc w:val="left"/>
        <w:rPr>
          <w:rFonts w:hint="eastAsia"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Cs/>
          <w:sz w:val="24"/>
          <w:szCs w:val="24"/>
          <w:highlight w:val="none"/>
          <w:lang w:val="en-US" w:eastAsia="zh-CN"/>
        </w:rPr>
        <w:t>本赛项紧紧围绕职业教育国家教学标准和企业真实工作任务要求，在考查参赛教师汽车电控技术理论底蕴基础上，重点考查安全生产、组织管理、解决汽车技术技能教学现场问题能力等综合素养。通过</w:t>
      </w:r>
      <w:r>
        <w:rPr>
          <w:rFonts w:hint="default" w:ascii="仿宋_GB2312" w:hAnsi="仿宋_GB2312" w:eastAsia="仿宋_GB2312" w:cs="仿宋_GB2312"/>
          <w:bCs/>
          <w:sz w:val="24"/>
          <w:szCs w:val="24"/>
          <w:highlight w:val="none"/>
          <w:lang w:val="en-US" w:eastAsia="zh-CN"/>
        </w:rPr>
        <w:t>“</w:t>
      </w:r>
      <w:r>
        <w:rPr>
          <w:rFonts w:hint="eastAsia" w:ascii="仿宋_GB2312" w:hAnsi="仿宋_GB2312" w:eastAsia="仿宋_GB2312" w:cs="仿宋_GB2312"/>
          <w:bCs/>
          <w:sz w:val="24"/>
          <w:szCs w:val="24"/>
          <w:highlight w:val="none"/>
          <w:lang w:val="en-US" w:eastAsia="zh-CN"/>
        </w:rPr>
        <w:t>汽车故障检修</w:t>
      </w:r>
      <w:r>
        <w:rPr>
          <w:rFonts w:hint="default" w:ascii="仿宋_GB2312" w:hAnsi="仿宋_GB2312" w:eastAsia="仿宋_GB2312" w:cs="仿宋_GB2312"/>
          <w:bCs/>
          <w:sz w:val="24"/>
          <w:szCs w:val="24"/>
          <w:highlight w:val="none"/>
          <w:lang w:val="en-US" w:eastAsia="zh-CN"/>
        </w:rPr>
        <w:t>”</w:t>
      </w:r>
      <w:r>
        <w:rPr>
          <w:rFonts w:hint="eastAsia" w:ascii="仿宋_GB2312" w:hAnsi="仿宋_GB2312" w:eastAsia="仿宋_GB2312" w:cs="仿宋_GB2312"/>
          <w:bCs/>
          <w:sz w:val="24"/>
          <w:szCs w:val="24"/>
          <w:highlight w:val="none"/>
          <w:lang w:val="en-US" w:eastAsia="zh-CN"/>
        </w:rPr>
        <w:t>竞赛，检验高职院校汽车技术类专业（群）的教育教学成果，助推具有工匠精神的复合型技术技能人才的培养，达成产教协同育人目标，引领专业建设发展，加快三教改革创新的步伐。同时展示参赛教师精湛的技艺、高超的实践教学水平、创新精神等良好的精神风貌，向社会宣传职业教育成就，促进产教研用一体化，推动职业教育高水平高质量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三、竞赛内容</w:t>
      </w:r>
    </w:p>
    <w:p>
      <w:pPr>
        <w:pStyle w:val="5"/>
        <w:spacing w:line="360" w:lineRule="auto"/>
        <w:ind w:firstLine="480" w:firstLineChars="200"/>
        <w:jc w:val="left"/>
        <w:rPr>
          <w:rFonts w:hint="eastAsia"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Cs/>
          <w:sz w:val="24"/>
          <w:szCs w:val="24"/>
          <w:highlight w:val="none"/>
          <w:lang w:val="en-US" w:eastAsia="zh-CN"/>
        </w:rPr>
        <w:t>本赛项聚焦燃油汽车、电动汽车的电控系统故障检修关键核心技术，结合行业标准和岗位群要求，涵盖“发动机、车身、底盘、电动汽车动力系统”等电控系统的故障检修、汽车常用工量具使用、汽车专用检测仪器设备使用等典型工作任务，考查参赛教师对“汽车电控技术、车载网络技术”综合理解及教学运用、使用现代汽车检测仪器设备进行故障诊断与排除的技术技能，以及“计划组织、安全防护、操作规范、绿色环保”等职业素养。同时鼓励创新性的科学检测思维、优秀的故障检修教学案例设计，不断探索汽车故障检修技术在职业教育中的运用。</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（一）竞赛模块组成</w:t>
      </w:r>
    </w:p>
    <w:p>
      <w:pPr>
        <w:keepNext w:val="0"/>
        <w:keepLines w:val="0"/>
        <w:widowControl/>
        <w:suppressLineNumbers w:val="0"/>
        <w:ind w:firstLine="480" w:firstLineChars="200"/>
        <w:jc w:val="left"/>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
        </w:rPr>
        <w:t>竞赛模块分2个模块、6个任务，如表1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所示。</w:t>
      </w:r>
    </w:p>
    <w:p>
      <w:pPr>
        <w:keepNext w:val="0"/>
        <w:keepLines w:val="0"/>
        <w:widowControl/>
        <w:suppressLineNumbers w:val="0"/>
        <w:ind w:firstLine="480" w:firstLineChars="200"/>
        <w:jc w:val="left"/>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表1 竞赛模块组成</w:t>
      </w:r>
    </w:p>
    <w:tbl>
      <w:tblPr>
        <w:tblStyle w:val="10"/>
        <w:tblW w:w="83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3"/>
        <w:gridCol w:w="1304"/>
        <w:gridCol w:w="1305"/>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433"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模块任务</w:t>
            </w:r>
          </w:p>
        </w:tc>
        <w:tc>
          <w:tcPr>
            <w:tcW w:w="130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比赛时长</w:t>
            </w:r>
          </w:p>
        </w:tc>
        <w:tc>
          <w:tcPr>
            <w:tcW w:w="1305"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分值</w:t>
            </w:r>
          </w:p>
        </w:tc>
        <w:tc>
          <w:tcPr>
            <w:tcW w:w="1305"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33"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模块A</w:t>
            </w:r>
            <w:r>
              <w:rPr>
                <w:rFonts w:ascii="Times New Roman" w:hAnsi="Times New Roman" w:eastAsia="仿宋_GB2312"/>
                <w:color w:val="000000" w:themeColor="text1"/>
                <w:szCs w:val="21"/>
                <w:highlight w:val="none"/>
                <w14:textFill>
                  <w14:solidFill>
                    <w14:schemeClr w14:val="tx1"/>
                  </w14:solidFill>
                </w14:textFill>
              </w:rPr>
              <w:t>汽车动力及底盘电控系统故障检修</w:t>
            </w:r>
          </w:p>
        </w:tc>
        <w:tc>
          <w:tcPr>
            <w:tcW w:w="130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r>
              <w:rPr>
                <w:rFonts w:ascii="Times New Roman" w:hAnsi="Times New Roman" w:eastAsia="仿宋_GB2312"/>
                <w:bCs/>
                <w:color w:val="000000" w:themeColor="text1"/>
                <w:szCs w:val="21"/>
                <w:highlight w:val="none"/>
                <w14:textFill>
                  <w14:solidFill>
                    <w14:schemeClr w14:val="tx1"/>
                  </w14:solidFill>
                </w14:textFill>
              </w:rPr>
              <w:t>min</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r>
              <w:rPr>
                <w:rFonts w:hint="eastAsia" w:ascii="Times New Roman" w:hAnsi="Times New Roman" w:eastAsia="仿宋_GB2312"/>
                <w:bCs/>
                <w:color w:val="auto"/>
                <w:szCs w:val="21"/>
                <w:highlight w:val="none"/>
                <w:lang w:val="en-US" w:eastAsia="zh-CN"/>
              </w:rPr>
              <w:t>50</w:t>
            </w:r>
            <w:r>
              <w:rPr>
                <w:rFonts w:ascii="Times New Roman" w:hAnsi="Times New Roman" w:eastAsia="仿宋_GB2312"/>
                <w:b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任务一汽车动力控制系统故障检修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任务二汽车底盘电控系统故障检修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4433" w:type="dxa"/>
            <w:tcBorders>
              <w:top w:val="single" w:color="auto" w:sz="4" w:space="0"/>
            </w:tcBorders>
            <w:vAlign w:val="center"/>
          </w:tcPr>
          <w:p>
            <w:pPr>
              <w:keepNext w:val="0"/>
              <w:keepLines w:val="0"/>
              <w:widowControl/>
              <w:suppressLineNumbers w:val="0"/>
              <w:ind w:firstLine="210" w:firstLineChars="10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任务三汽车动力控制系统故障设计与分析</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4433"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模块B</w:t>
            </w:r>
            <w:r>
              <w:rPr>
                <w:rFonts w:ascii="Times New Roman" w:hAnsi="Times New Roman" w:eastAsia="仿宋_GB2312"/>
                <w:color w:val="000000" w:themeColor="text1"/>
                <w:szCs w:val="21"/>
                <w:highlight w:val="none"/>
                <w14:textFill>
                  <w14:solidFill>
                    <w14:schemeClr w14:val="tx1"/>
                  </w14:solidFill>
                </w14:textFill>
              </w:rPr>
              <w:t>发动机及车身电控系统故障检修</w:t>
            </w:r>
          </w:p>
        </w:tc>
        <w:tc>
          <w:tcPr>
            <w:tcW w:w="130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r>
              <w:rPr>
                <w:rFonts w:ascii="Times New Roman" w:hAnsi="Times New Roman" w:eastAsia="仿宋_GB2312"/>
                <w:bCs/>
                <w:color w:val="000000" w:themeColor="text1"/>
                <w:szCs w:val="21"/>
                <w:highlight w:val="none"/>
                <w14:textFill>
                  <w14:solidFill>
                    <w14:schemeClr w14:val="tx1"/>
                  </w14:solidFill>
                </w14:textFill>
              </w:rPr>
              <w:t>min</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r>
              <w:rPr>
                <w:rFonts w:hint="eastAsia" w:ascii="Times New Roman" w:hAnsi="Times New Roman" w:eastAsia="仿宋_GB2312"/>
                <w:bCs/>
                <w:color w:val="auto"/>
                <w:szCs w:val="21"/>
                <w:highlight w:val="none"/>
                <w:lang w:val="en-US" w:eastAsia="zh-CN"/>
              </w:rPr>
              <w:t>5</w:t>
            </w:r>
            <w:r>
              <w:rPr>
                <w:rFonts w:ascii="Times New Roman" w:hAnsi="Times New Roman" w:eastAsia="仿宋_GB2312"/>
                <w:bCs/>
                <w:color w:val="auto"/>
                <w:szCs w:val="21"/>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四</w:t>
            </w:r>
            <w:r>
              <w:rPr>
                <w:rFonts w:ascii="Times New Roman" w:hAnsi="Times New Roman" w:eastAsia="仿宋_GB2312"/>
                <w:bCs/>
                <w:color w:val="000000" w:themeColor="text1"/>
                <w:szCs w:val="21"/>
                <w:highlight w:val="none"/>
                <w14:textFill>
                  <w14:solidFill>
                    <w14:schemeClr w14:val="tx1"/>
                  </w14:solidFill>
                </w14:textFill>
              </w:rPr>
              <w:t>发动机电控系统故障检修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五</w:t>
            </w:r>
            <w:r>
              <w:rPr>
                <w:rFonts w:ascii="Times New Roman" w:hAnsi="Times New Roman" w:eastAsia="仿宋_GB2312"/>
                <w:bCs/>
                <w:color w:val="000000" w:themeColor="text1"/>
                <w:szCs w:val="21"/>
                <w:highlight w:val="none"/>
                <w14:textFill>
                  <w14:solidFill>
                    <w14:schemeClr w14:val="tx1"/>
                  </w14:solidFill>
                </w14:textFill>
              </w:rPr>
              <w:t>车身电控系统故障检修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4433" w:type="dxa"/>
            <w:tcBorders>
              <w:top w:val="single" w:color="auto" w:sz="4" w:space="0"/>
              <w:bottom w:val="single" w:color="auto" w:sz="4" w:space="0"/>
            </w:tcBorders>
            <w:vAlign w:val="center"/>
          </w:tcPr>
          <w:p>
            <w:pPr>
              <w:keepNext w:val="0"/>
              <w:keepLines w:val="0"/>
              <w:widowControl/>
              <w:suppressLineNumbers w:val="0"/>
              <w:jc w:val="center"/>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任务六发动机电控系统故障设计与分析</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8347" w:type="dxa"/>
            <w:gridSpan w:val="4"/>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采用实操考核形式，理论考核融入实操考核中，同时应填写选手报告单</w:t>
            </w:r>
          </w:p>
        </w:tc>
      </w:tr>
    </w:tbl>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（二）作业要求</w:t>
      </w:r>
    </w:p>
    <w:p>
      <w:pPr>
        <w:keepNext w:val="0"/>
        <w:keepLines w:val="0"/>
        <w:widowControl/>
        <w:suppressLineNumbers w:val="0"/>
        <w:spacing w:line="360" w:lineRule="auto"/>
        <w:ind w:firstLine="480" w:firstLineChars="200"/>
        <w:jc w:val="left"/>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kern w:val="2"/>
          <w:sz w:val="24"/>
          <w:szCs w:val="24"/>
          <w:highlight w:val="none"/>
          <w:lang w:val="en-US" w:eastAsia="zh-CN" w:bidi="ar-SA"/>
        </w:rPr>
        <w:t>要求参赛教师在7</w:t>
      </w:r>
      <w:r>
        <w:rPr>
          <w:rFonts w:hint="default" w:ascii="仿宋_GB2312" w:hAnsi="仿宋_GB2312" w:eastAsia="仿宋_GB2312" w:cs="仿宋_GB2312"/>
          <w:bCs/>
          <w:kern w:val="2"/>
          <w:sz w:val="24"/>
          <w:szCs w:val="24"/>
          <w:highlight w:val="none"/>
          <w:lang w:val="en-US" w:eastAsia="zh-CN" w:bidi="ar-SA"/>
        </w:rPr>
        <w:t>0</w:t>
      </w:r>
      <w:r>
        <w:rPr>
          <w:rFonts w:hint="eastAsia" w:ascii="仿宋_GB2312" w:hAnsi="仿宋_GB2312" w:eastAsia="仿宋_GB2312" w:cs="仿宋_GB2312"/>
          <w:bCs/>
          <w:kern w:val="2"/>
          <w:sz w:val="24"/>
          <w:szCs w:val="24"/>
          <w:highlight w:val="none"/>
          <w:lang w:val="en-US" w:eastAsia="zh-CN" w:bidi="ar-SA"/>
        </w:rPr>
        <w:t>分钟内，以个人作业方式，按照国家标准、生产制造厂家技术规范，通过逻辑分析、资料检索及电路图分析，使用工量具、万用表、故障诊断仪、示波器等诊断检测设备，检测分析故障，安全、合理、规范地完成</w:t>
      </w:r>
      <w:r>
        <w:rPr>
          <w:rFonts w:hint="default" w:ascii="仿宋_GB2312" w:hAnsi="仿宋_GB2312" w:eastAsia="仿宋_GB2312" w:cs="仿宋_GB2312"/>
          <w:bCs/>
          <w:kern w:val="2"/>
          <w:sz w:val="24"/>
          <w:szCs w:val="24"/>
          <w:highlight w:val="none"/>
          <w:lang w:val="en-US" w:eastAsia="zh-CN" w:bidi="ar-SA"/>
        </w:rPr>
        <w:t>“</w:t>
      </w:r>
      <w:r>
        <w:rPr>
          <w:rFonts w:hint="eastAsia" w:ascii="仿宋_GB2312" w:hAnsi="仿宋_GB2312" w:eastAsia="仿宋_GB2312" w:cs="仿宋_GB2312"/>
          <w:bCs/>
          <w:kern w:val="2"/>
          <w:sz w:val="24"/>
          <w:szCs w:val="24"/>
          <w:highlight w:val="none"/>
          <w:lang w:val="en-US" w:eastAsia="zh-CN" w:bidi="ar-SA"/>
        </w:rPr>
        <w:t>发动机、车身、底盘、电动汽车动力系统</w:t>
      </w:r>
      <w:r>
        <w:rPr>
          <w:rFonts w:hint="default" w:ascii="仿宋_GB2312" w:hAnsi="仿宋_GB2312" w:eastAsia="仿宋_GB2312" w:cs="仿宋_GB2312"/>
          <w:bCs/>
          <w:kern w:val="2"/>
          <w:sz w:val="24"/>
          <w:szCs w:val="24"/>
          <w:highlight w:val="none"/>
          <w:lang w:val="en-US" w:eastAsia="zh-CN" w:bidi="ar-SA"/>
        </w:rPr>
        <w:t>”</w:t>
      </w:r>
      <w:r>
        <w:rPr>
          <w:rFonts w:hint="eastAsia" w:ascii="仿宋_GB2312" w:hAnsi="仿宋_GB2312" w:eastAsia="仿宋_GB2312" w:cs="仿宋_GB2312"/>
          <w:bCs/>
          <w:kern w:val="2"/>
          <w:sz w:val="24"/>
          <w:szCs w:val="24"/>
          <w:highlight w:val="none"/>
          <w:lang w:val="en-US" w:eastAsia="zh-CN" w:bidi="ar-SA"/>
        </w:rPr>
        <w:t xml:space="preserve">的电控系统故障检修和故障设计。 </w:t>
      </w:r>
    </w:p>
    <w:p>
      <w:pPr>
        <w:keepNext w:val="0"/>
        <w:keepLines w:val="0"/>
        <w:widowControl/>
        <w:suppressLineNumbers w:val="0"/>
        <w:spacing w:line="360" w:lineRule="auto"/>
        <w:ind w:firstLine="480" w:firstLineChars="200"/>
        <w:jc w:val="left"/>
        <w:rPr>
          <w:rFonts w:hint="eastAsia" w:ascii="仿宋_GB2312" w:hAnsi="仿宋_GB2312" w:eastAsia="仿宋_GB2312" w:cs="仿宋_GB2312"/>
          <w:bCs/>
          <w:kern w:val="2"/>
          <w:sz w:val="24"/>
          <w:szCs w:val="24"/>
          <w:highlight w:val="none"/>
          <w:lang w:val="en-US" w:eastAsia="zh-CN" w:bidi="ar-SA"/>
        </w:rPr>
      </w:pPr>
      <w:r>
        <w:rPr>
          <w:rFonts w:hint="eastAsia" w:ascii="仿宋_GB2312" w:hAnsi="仿宋_GB2312" w:eastAsia="仿宋_GB2312" w:cs="仿宋_GB2312"/>
          <w:bCs/>
          <w:kern w:val="2"/>
          <w:sz w:val="24"/>
          <w:szCs w:val="24"/>
          <w:highlight w:val="none"/>
          <w:lang w:val="en-US" w:eastAsia="zh-CN" w:bidi="ar-SA"/>
        </w:rPr>
        <w:t>要求熟悉车辆结构，熟练查阅维修资料和电路图、规范使用工量具和仪器设备、准确测量技术参数判断故障点、正确记录作业过程和测试数据、准确完成作业操作。包括前期准备、安全检查、症状确认与分析、外观检查、仪器连接、故障码和数据流读取、高压断电、非带电状态检测验证、绝缘（漏电）检测、元器件测量、故障点确认和排除、</w:t>
      </w:r>
      <w:r>
        <w:rPr>
          <w:rFonts w:hint="default" w:ascii="仿宋_GB2312" w:hAnsi="仿宋_GB2312" w:eastAsia="仿宋_GB2312" w:cs="仿宋_GB2312"/>
          <w:bCs/>
          <w:kern w:val="2"/>
          <w:sz w:val="24"/>
          <w:szCs w:val="24"/>
          <w:highlight w:val="none"/>
          <w:lang w:val="en-US" w:eastAsia="zh-CN" w:bidi="ar-SA"/>
        </w:rPr>
        <w:t xml:space="preserve">5S </w:t>
      </w:r>
      <w:r>
        <w:rPr>
          <w:rFonts w:hint="eastAsia" w:ascii="仿宋_GB2312" w:hAnsi="仿宋_GB2312" w:eastAsia="仿宋_GB2312" w:cs="仿宋_GB2312"/>
          <w:bCs/>
          <w:kern w:val="2"/>
          <w:sz w:val="24"/>
          <w:szCs w:val="24"/>
          <w:highlight w:val="none"/>
          <w:lang w:val="en-US" w:eastAsia="zh-CN" w:bidi="ar-SA"/>
        </w:rPr>
        <w:t>管理等。</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（三）考核要点</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1.模块A：汽车动力及底盘电控系统故障检修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本模块在纯电动汽车上完成。</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任务一：汽车动力控制系统故障检修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针对汽车动力控制系统，围绕“三电”系统的低压上电异常、高压上电异常、车辆无法正常行驶、车辆无法（交流）充电等故障，</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，依据汽车电动化控制逻辑，规范完成故障检修。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任务二：汽车底盘电控系统故障检修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围绕电动转向、防抱死制动、电子驻车、网络系统等底盘电控系统故障，规范完成故障检修。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 xml:space="preserve">任务三：汽车动力控制系统故障设计与分析 </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根据模块车辆给定故障现象，设计一个针对该现象的故障点，针对该故障点，设计对应的故障检修步骤，结合电路图分析，通过在实车上试验，在报告单上绘制相应的电路原理框图、故障树，填写关键检测数据和波形，验证故障排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2.模块B：发动机和车身电控系统故障检修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本模块在燃油车上完成。</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四</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：发动机电控系统故障检修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围绕汽车发动机无法起动、发动机运行不良等故障，规范完成故障检修。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五</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：车身电控系统故障检修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围绕电源管理系统、进入及许可系统、舒适系统、车身附件电路、灯光控制系统、仪表与警告装置、车载网络系统等共性关联性或单一性故障，规范完成故障检修。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任务六：发动机电控系统故障设计与分析</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考核要点同任务三。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四、竞赛方式</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竞赛以线下比赛形式进行，竞赛组队方式为个人赛。参赛教师须为本校教龄</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年以上（含）的在职教师，参赛选手性别不限。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教师赛不设指导教师。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以正式比赛报名通知为准。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五、竞赛流程</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正式比赛时间</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天，竞赛日程如表2,比赛场次根据最后报名参赛队数量调整。</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表2 竞赛日程</w:t>
      </w:r>
    </w:p>
    <w:tbl>
      <w:tblPr>
        <w:tblStyle w:val="10"/>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499"/>
        <w:gridCol w:w="491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日程</w:t>
            </w:r>
          </w:p>
        </w:tc>
        <w:tc>
          <w:tcPr>
            <w:tcW w:w="1499" w:type="dxa"/>
            <w:vAlign w:val="center"/>
          </w:tcPr>
          <w:p>
            <w:pPr>
              <w:jc w:val="left"/>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时间</w:t>
            </w:r>
          </w:p>
        </w:tc>
        <w:tc>
          <w:tcPr>
            <w:tcW w:w="4915"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内容</w:t>
            </w:r>
          </w:p>
        </w:tc>
        <w:tc>
          <w:tcPr>
            <w:tcW w:w="1332"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restart"/>
            <w:tcBorders>
              <w:bottom w:val="single" w:color="auto" w:sz="4" w:space="0"/>
            </w:tcBorders>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第1天</w:t>
            </w:r>
          </w:p>
        </w:tc>
        <w:tc>
          <w:tcPr>
            <w:tcW w:w="1499" w:type="dxa"/>
            <w:tcBorders>
              <w:bottom w:val="single" w:color="auto" w:sz="4" w:space="0"/>
            </w:tcBorders>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8:30～11:30</w:t>
            </w:r>
          </w:p>
        </w:tc>
        <w:tc>
          <w:tcPr>
            <w:tcW w:w="4915" w:type="dxa"/>
            <w:tcBorders>
              <w:bottom w:val="single" w:color="auto" w:sz="4" w:space="0"/>
            </w:tcBorders>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参赛队报到</w:t>
            </w:r>
          </w:p>
        </w:tc>
        <w:tc>
          <w:tcPr>
            <w:tcW w:w="1332" w:type="dxa"/>
            <w:tcBorders>
              <w:bottom w:val="single" w:color="auto" w:sz="4" w:space="0"/>
            </w:tcBorders>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报到现场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14:00～15:30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参赛选手熟悉比赛场地</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16:00～17:00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领队说明会（抽签顺序号）</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restart"/>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第2天</w:t>
            </w: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7:00～8:00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参赛队检录一次加密（确定身份加密号）</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候考室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7:00～8:00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参赛队检录二次加密（确定比赛工位）</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备考室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8:00～1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olor w:val="000000" w:themeColor="text1"/>
                <w:szCs w:val="21"/>
                <w:highlight w:val="none"/>
                <w14:textFill>
                  <w14:solidFill>
                    <w14:schemeClr w14:val="tx1"/>
                  </w14:solidFill>
                </w14:textFill>
              </w:rPr>
              <w:t>:</w:t>
            </w:r>
            <w:r>
              <w:rPr>
                <w:rFonts w:ascii="Times New Roman" w:hAnsi="Times New Roman" w:eastAsia="仿宋_GB2312"/>
                <w:color w:val="000000" w:themeColor="text1"/>
                <w:szCs w:val="21"/>
                <w:highlight w:val="none"/>
                <w14:textFill>
                  <w14:solidFill>
                    <w14:schemeClr w14:val="tx1"/>
                  </w14:solidFill>
                </w14:textFill>
              </w:rPr>
              <w:t>00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（第1轮）</w:t>
            </w:r>
          </w:p>
        </w:tc>
        <w:tc>
          <w:tcPr>
            <w:tcW w:w="1332" w:type="dxa"/>
            <w:vMerge w:val="restart"/>
            <w:vAlign w:val="center"/>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2</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0～</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15</w:t>
            </w:r>
            <w:r>
              <w:rPr>
                <w:rFonts w:hint="eastAsia"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（第2轮）</w:t>
            </w:r>
          </w:p>
        </w:tc>
        <w:tc>
          <w:tcPr>
            <w:tcW w:w="1332" w:type="dxa"/>
            <w:vMerge w:val="continue"/>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hint="eastAsia" w:ascii="Times New Roman" w:hAnsi="Times New Roman" w:eastAsia="仿宋_GB2312"/>
                <w:color w:val="000000" w:themeColor="text1"/>
                <w:szCs w:val="21"/>
                <w:highlight w:val="none"/>
                <w:lang w:val="en-US" w:eastAsia="zh-CN"/>
                <w14:textFill>
                  <w14:solidFill>
                    <w14:schemeClr w14:val="tx1"/>
                  </w14:solidFill>
                </w14:textFill>
              </w:rPr>
              <w:t>16</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0</w:t>
            </w:r>
            <w:r>
              <w:rPr>
                <w:rFonts w:ascii="Times New Roman" w:hAnsi="Times New Roman" w:eastAsia="仿宋_GB2312"/>
                <w:color w:val="000000" w:themeColor="text1"/>
                <w:szCs w:val="21"/>
                <w:highlight w:val="none"/>
                <w14:textFill>
                  <w14:solidFill>
                    <w14:schemeClr w14:val="tx1"/>
                  </w14:solidFill>
                </w14:textFill>
              </w:rPr>
              <w:t>0～</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19</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0</w:t>
            </w:r>
            <w:r>
              <w:rPr>
                <w:rFonts w:ascii="Times New Roman" w:hAnsi="Times New Roman" w:eastAsia="仿宋_GB2312"/>
                <w:color w:val="000000" w:themeColor="text1"/>
                <w:szCs w:val="21"/>
                <w:highlight w:val="none"/>
                <w14:textFill>
                  <w14:solidFill>
                    <w14:schemeClr w14:val="tx1"/>
                  </w14:solidFill>
                </w14:textFill>
              </w:rPr>
              <w:t>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轮）</w:t>
            </w:r>
          </w:p>
        </w:tc>
        <w:tc>
          <w:tcPr>
            <w:tcW w:w="1332" w:type="dxa"/>
            <w:vMerge w:val="continue"/>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hint="eastAsia" w:ascii="Times New Roman" w:hAnsi="Times New Roman" w:eastAsia="仿宋_GB2312"/>
                <w:color w:val="000000" w:themeColor="text1"/>
                <w:szCs w:val="21"/>
                <w:highlight w:val="none"/>
                <w:lang w:val="en-US" w:eastAsia="zh-CN"/>
                <w14:textFill>
                  <w14:solidFill>
                    <w14:schemeClr w14:val="tx1"/>
                  </w14:solidFill>
                </w14:textFill>
              </w:rPr>
              <w:t>21</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0</w:t>
            </w:r>
            <w:r>
              <w:rPr>
                <w:rFonts w:ascii="Times New Roman" w:hAnsi="Times New Roman" w:eastAsia="仿宋_GB2312"/>
                <w:color w:val="000000" w:themeColor="text1"/>
                <w:szCs w:val="21"/>
                <w:highlight w:val="none"/>
                <w14:textFill>
                  <w14:solidFill>
                    <w14:schemeClr w14:val="tx1"/>
                  </w14:solidFill>
                </w14:textFill>
              </w:rPr>
              <w:t>0～23:00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hint="eastAsia" w:ascii="Times New Roman" w:hAnsi="Times New Roman" w:eastAsia="仿宋_GB2312"/>
                <w:color w:val="000000" w:themeColor="text1"/>
                <w:szCs w:val="21"/>
                <w:highlight w:val="none"/>
                <w:lang w:val="en-US" w:eastAsia="zh-CN"/>
                <w14:textFill>
                  <w14:solidFill>
                    <w14:schemeClr w14:val="tx1"/>
                  </w14:solidFill>
                </w14:textFill>
              </w:rPr>
              <w:t>成绩发布</w:t>
            </w:r>
          </w:p>
        </w:tc>
        <w:tc>
          <w:tcPr>
            <w:tcW w:w="1332" w:type="dxa"/>
          </w:tcPr>
          <w:p>
            <w:pPr>
              <w:adjustRightInd w:val="0"/>
              <w:snapToGrid w:val="0"/>
              <w:jc w:val="center"/>
              <w:rPr>
                <w:rFonts w:hint="eastAsia" w:ascii="Times New Roman" w:hAnsi="Times New Roman" w:eastAsia="仿宋_GB2312"/>
                <w:color w:val="000000" w:themeColor="text1"/>
                <w:szCs w:val="21"/>
                <w:highlight w:val="none"/>
                <w:lang w:val="en-US" w:eastAsia="zh-CN"/>
                <w14:textFill>
                  <w14:solidFill>
                    <w14:schemeClr w14:val="tx1"/>
                  </w14:solidFill>
                </w14:textFill>
              </w:rPr>
            </w:pPr>
          </w:p>
        </w:tc>
      </w:tr>
    </w:tbl>
    <w:p>
      <w:pPr>
        <w:pStyle w:val="5"/>
        <w:rPr>
          <w:highlight w:val="none"/>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六、竞赛</w:t>
      </w:r>
      <w:r>
        <w:rPr>
          <w:rFonts w:hint="eastAsia" w:ascii="黑体" w:hAnsi="宋体" w:eastAsia="黑体" w:cs="黑体"/>
          <w:color w:val="000000"/>
          <w:kern w:val="0"/>
          <w:sz w:val="24"/>
          <w:szCs w:val="24"/>
          <w:highlight w:val="none"/>
          <w:lang w:val="en-US" w:eastAsia="zh-CN" w:bidi="ar"/>
        </w:rPr>
        <w:t>命题</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专家组依据本规程公布的作业要求和考核要点负责编制竞赛用试题，试题与评分标准对应考核模块的故障点或规范操作要点。竞赛设备说明书、维修手册、电路图等相关技术资料将随比赛车（机）型同时在</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“山东省职业院校技能大赛网：http://sdskills.sdei.edu.cn/”</w:t>
      </w:r>
      <w:r>
        <w:rPr>
          <w:rFonts w:hint="eastAsia" w:ascii="Times New Roman" w:hAnsi="Times New Roman" w:eastAsia="仿宋_GB2312"/>
          <w:color w:val="000000" w:themeColor="text1"/>
          <w:sz w:val="24"/>
          <w:szCs w:val="24"/>
          <w:highlight w:val="none"/>
          <w14:textFill>
            <w14:solidFill>
              <w14:schemeClr w14:val="tx1"/>
            </w14:solidFill>
          </w14:textFill>
        </w:rPr>
        <w:t>公布，具体形式为电子版。样题与参考评分标准详见附件1-</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仿宋_GB2312"/>
          <w:color w:val="000000" w:themeColor="text1"/>
          <w:sz w:val="24"/>
          <w:szCs w:val="24"/>
          <w:highlight w:val="none"/>
          <w14:textFill>
            <w14:solidFill>
              <w14:schemeClr w14:val="tx1"/>
            </w14:solidFill>
          </w14:textFill>
        </w:rPr>
        <w:t>，仅作为训练参考。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七</w:t>
      </w:r>
      <w:r>
        <w:rPr>
          <w:rFonts w:ascii="黑体" w:hAnsi="宋体" w:eastAsia="黑体" w:cs="黑体"/>
          <w:color w:val="000000"/>
          <w:kern w:val="0"/>
          <w:sz w:val="24"/>
          <w:szCs w:val="24"/>
          <w:highlight w:val="none"/>
          <w:lang w:val="en-US" w:eastAsia="zh-CN" w:bidi="ar"/>
        </w:rPr>
        <w:t>、竞赛规则</w:t>
      </w:r>
    </w:p>
    <w:p>
      <w:pPr>
        <w:spacing w:line="360" w:lineRule="auto"/>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）熟悉场地</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 xml:space="preserve">赛项比赛前一天下午安排参赛队熟悉比赛场地，召开领队会议，宣布竞赛纪律和有关规定。 </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二</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）入场规则</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 xml:space="preserve">按照职业院校技能大赛制度汇编要求，进行检录、一次加密、二次加密等工作。 </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）赛场规则</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1.参赛</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教师</w:t>
      </w:r>
      <w:r>
        <w:rPr>
          <w:rFonts w:hint="eastAsia" w:ascii="Times New Roman" w:hAnsi="Times New Roman" w:eastAsia="仿宋_GB2312"/>
          <w:color w:val="000000" w:themeColor="text1"/>
          <w:sz w:val="24"/>
          <w:szCs w:val="24"/>
          <w:highlight w:val="none"/>
          <w14:textFill>
            <w14:solidFill>
              <w14:schemeClr w14:val="tx1"/>
            </w14:solidFill>
          </w14:textFill>
        </w:rPr>
        <w:t>经检录后实行封闭管理。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2.裁判长发布竞赛开始指令后正式开始竞赛，参赛</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教师</w:t>
      </w:r>
      <w:r>
        <w:rPr>
          <w:rFonts w:hint="eastAsia" w:ascii="Times New Roman" w:hAnsi="Times New Roman" w:eastAsia="仿宋_GB2312"/>
          <w:color w:val="000000" w:themeColor="text1"/>
          <w:sz w:val="24"/>
          <w:szCs w:val="24"/>
          <w:highlight w:val="none"/>
          <w14:textFill>
            <w14:solidFill>
              <w14:schemeClr w14:val="tx1"/>
            </w14:solidFill>
          </w14:textFill>
        </w:rPr>
        <w:t>合理计划安排，利用现场提供的所有条件完成竞赛任务。</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须严格遵守安全操作规程，并接受裁判员的监督和警示，以确保安全。</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因个人误操作造成人身安全事故和设备故障时，裁判长有权中止该</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竞赛；如非</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个人因素出现设备故障而无法竞赛，由裁判长视具体情况做出裁决。</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4.选手若提前结束竞赛，应举手向裁判员示意，选手结束竞赛后不得再进行任何操作。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5.裁判长在竞赛阶段统一进行剩余时间提醒、发布竞赛结束指令。竞赛结束时所有</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立即停止操作。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其它未涉及事项或突发事件，由大赛执委会负责解释或决定。</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）离场规则</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ascii="Times New Roman" w:hAnsi="Times New Roman" w:eastAsia="仿宋_GB2312"/>
          <w:color w:val="000000" w:themeColor="text1"/>
          <w:sz w:val="24"/>
          <w:szCs w:val="24"/>
          <w:highlight w:val="none"/>
          <w14:textFill>
            <w14:solidFill>
              <w14:schemeClr w14:val="tx1"/>
            </w14:solidFill>
          </w14:textFill>
        </w:rPr>
        <w:t>须服从裁判统一指挥，尊重赛场工作人员，自觉维护赛场秩序有序离场，不得带出赛卷、稿纸、车辆钥匙等物品。</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）成绩评定及公布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1.严禁</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ascii="Times New Roman" w:hAnsi="Times New Roman" w:eastAsia="仿宋_GB2312"/>
          <w:color w:val="000000" w:themeColor="text1"/>
          <w:sz w:val="24"/>
          <w:szCs w:val="24"/>
          <w:highlight w:val="none"/>
          <w14:textFill>
            <w14:solidFill>
              <w14:schemeClr w14:val="tx1"/>
            </w14:solidFill>
          </w14:textFill>
        </w:rPr>
        <w:t>、赛项裁判、工作人员私自携带通讯、摄录设备进入比赛场地和裁判工作室。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2.评分材料须由评分裁判签字确认，更正成绩需经裁判本人、裁判长及监督仲裁组长签字确认。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3.裁判应与参赛人员无利益关系。与参赛单位、</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ascii="Times New Roman" w:hAnsi="Times New Roman" w:eastAsia="仿宋_GB2312"/>
          <w:color w:val="000000" w:themeColor="text1"/>
          <w:sz w:val="24"/>
          <w:szCs w:val="24"/>
          <w:highlight w:val="none"/>
          <w14:textFill>
            <w14:solidFill>
              <w14:schemeClr w14:val="tx1"/>
            </w14:solidFill>
          </w14:textFill>
        </w:rPr>
        <w:t>有利益关系时，应主动申报、回避。</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4.在正式公布比赛成绩之前，任何人员不得泄露过程评分和结果评分的评分结果及相关数据。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八、竞赛环境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竞赛场地在承办院校合格场地进行，赛场符合防火安全规定，提供稳定的电、气源，场地采光、照明和通风良好，设有尾排通风装置，配有供电应急设备，配备水基型灭火器以应对电动汽车的电气安全事故。赛场内安排有裁判休息区、监督仲裁室、专家室、评分裁判室、机要室、医疗室、选手封闭室、卫生间等必要的区域；评分裁判室、裁判休息区、监督仲裁室、选手封闭区刚性隔离；所有比赛工位用专用屏风隔离，避免相互影响；现场配备音响、摄像设备，以便有效组织赛场活动；现场配备计时器，准确把控竞赛时间；赛场机要室钥匙由裁判长和监督仲裁组长分别保管，严禁外人进入。</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各模块共用竞赛场地，赛场总面积不小于800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m</w:t>
      </w:r>
      <w:r>
        <w:rPr>
          <w:rFonts w:hint="eastAsia" w:ascii="Times New Roman" w:hAnsi="Times New Roman" w:eastAsia="仿宋_GB2312"/>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仿宋_GB2312"/>
          <w:color w:val="000000" w:themeColor="text1"/>
          <w:sz w:val="24"/>
          <w:szCs w:val="24"/>
          <w:highlight w:val="none"/>
          <w14:textFill>
            <w14:solidFill>
              <w14:schemeClr w14:val="tx1"/>
            </w14:solidFill>
          </w14:textFill>
        </w:rPr>
        <w:t>，配备</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6</w:t>
      </w:r>
      <w:r>
        <w:rPr>
          <w:rFonts w:ascii="Times New Roman" w:hAnsi="Times New Roman" w:eastAsia="仿宋_GB2312"/>
          <w:color w:val="000000" w:themeColor="text1"/>
          <w:sz w:val="24"/>
          <w:szCs w:val="24"/>
          <w:highlight w:val="none"/>
          <w14:textFill>
            <w14:solidFill>
              <w14:schemeClr w14:val="tx1"/>
            </w14:solidFill>
          </w14:textFill>
        </w:rPr>
        <w:t>个竞赛工位和</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1</w:t>
      </w:r>
      <w:r>
        <w:rPr>
          <w:rFonts w:ascii="Times New Roman" w:hAnsi="Times New Roman" w:eastAsia="仿宋_GB2312"/>
          <w:color w:val="000000" w:themeColor="text1"/>
          <w:sz w:val="24"/>
          <w:szCs w:val="24"/>
          <w:highlight w:val="none"/>
          <w14:textFill>
            <w14:solidFill>
              <w14:schemeClr w14:val="tx1"/>
            </w14:solidFill>
          </w14:textFill>
        </w:rPr>
        <w:t>个备用工位，比赛工位数根据最后报名参赛教师数量调整。每个工位占地面积不低于50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m</w:t>
      </w:r>
      <w:r>
        <w:rPr>
          <w:rFonts w:hint="eastAsia" w:ascii="Times New Roman" w:hAnsi="Times New Roman" w:eastAsia="仿宋_GB2312"/>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仿宋_GB2312"/>
          <w:color w:val="000000" w:themeColor="text1"/>
          <w:sz w:val="24"/>
          <w:szCs w:val="24"/>
          <w:highlight w:val="none"/>
          <w14:textFill>
            <w14:solidFill>
              <w14:schemeClr w14:val="tx1"/>
            </w14:solidFill>
          </w14:textFill>
        </w:rPr>
        <w:t>，提供220V交流电，插座带漏电保护和接地保护，能承载功率7kw、电流32A以上，配置有双柱举升机、尾排及通风系统；竞赛场地净空高度不低于4.2m，实操竞赛工位布置见图1。</w:t>
      </w:r>
    </w:p>
    <w:p>
      <w:pPr>
        <w:jc w:val="center"/>
        <w:rPr>
          <w:rFonts w:ascii="Times New Roman" w:hAnsi="Times New Roman" w:eastAsia="仿宋_GB2312"/>
          <w:color w:val="000000" w:themeColor="text1"/>
          <w:sz w:val="24"/>
          <w:highlight w:val="none"/>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drawing>
          <wp:inline distT="0" distB="0" distL="0" distR="0">
            <wp:extent cx="2172335" cy="2838450"/>
            <wp:effectExtent l="0" t="0" r="6985" b="11430"/>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72335" cy="2838450"/>
                    </a:xfrm>
                    <a:prstGeom prst="rect">
                      <a:avLst/>
                    </a:prstGeom>
                    <a:noFill/>
                    <a:ln>
                      <a:noFill/>
                    </a:ln>
                    <a:effectLst/>
                  </pic:spPr>
                </pic:pic>
              </a:graphicData>
            </a:graphic>
          </wp:inline>
        </w:drawing>
      </w:r>
    </w:p>
    <w:p>
      <w:pPr>
        <w:jc w:val="center"/>
        <w:rPr>
          <w:rFonts w:ascii="Times New Roman" w:hAnsi="Times New Roman"/>
          <w:color w:val="000000" w:themeColor="text1"/>
          <w:highlight w:val="none"/>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bookmarkStart w:id="1" w:name="_Hlk132466563"/>
      <w:r>
        <w:rPr>
          <w:rFonts w:ascii="Times New Roman" w:hAnsi="Times New Roman" w:eastAsia="黑体"/>
          <w:color w:val="000000" w:themeColor="text1"/>
          <w:sz w:val="24"/>
          <w:highlight w:val="none"/>
          <w14:textFill>
            <w14:solidFill>
              <w14:schemeClr w14:val="tx1"/>
            </w14:solidFill>
          </w14:textFill>
        </w:rPr>
        <w:t>图1整车竞赛工位布置图</w:t>
      </w:r>
      <w:bookmarkEnd w:id="1"/>
    </w:p>
    <w:p>
      <w:pPr>
        <w:spacing w:line="360" w:lineRule="auto"/>
        <w:ind w:firstLine="560" w:firstLineChars="200"/>
        <w:rPr>
          <w:rFonts w:ascii="Times New Roman" w:hAnsi="Times New Roman" w:eastAsia="仿宋_GB2312"/>
          <w:color w:val="000000" w:themeColor="text1"/>
          <w:sz w:val="28"/>
          <w:szCs w:val="28"/>
          <w:highlight w:val="none"/>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九</w:t>
      </w:r>
      <w:r>
        <w:rPr>
          <w:rFonts w:ascii="黑体" w:hAnsi="宋体" w:eastAsia="黑体" w:cs="黑体"/>
          <w:color w:val="000000"/>
          <w:kern w:val="0"/>
          <w:sz w:val="24"/>
          <w:szCs w:val="24"/>
          <w:highlight w:val="none"/>
          <w:lang w:val="en-US" w:eastAsia="zh-CN" w:bidi="ar"/>
        </w:rPr>
        <w:t>、技术规范</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（一）法律法规</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《中华人民共和国安全生产法》、《机动车维修管理规定》等</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（二）技术标准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1.GB/T18344-2016汽车维护、检测、检测技术规范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2.GB7258-2017机动车运行安全技术条件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3.GB/T15746-2011汽车修理质量检查评定方法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4.GB/T19910-2005汽车发动机电子控制系统修理技术要求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5.GB/T18384.1-2015电动汽车安全要求第1部分：车载可充电储能系统(REESS)</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6.GB/T18384.2-2015电动汽车安全要求第2部分：操作安全和故障防护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7.GB/T18384.3-2015电动汽车安全要求第3部分：人员触电防护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8.GB/T28382-2012纯电动乘用车技术条件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9.GB/T18385-2005电动汽车动力性能试验方法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10.GB/T18487.1-2015电动汽车传导充电系统第1部分通用要求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11.GB/T31486-2015电动汽车用动力蓄电池电性能要求及试验方法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12.GB/T18488.1-2015电动汽车用驱动电机系统第1部分：技术条件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13.GB/T18488.2-2015电动汽车用驱动电机系统第2部分：试验方法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14.GB/T20234.1-2015电动汽车传导充电用连接装置第1部分：通用要求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15.GB/T20234.2-2015电动汽车传导充电用连接装置第2部分：交流充电接口</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16.GB/T24347-2009电动汽车DC/DC变换器</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(三)高职专业教学标准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1.汽车制造类-汽车制造与试验技术460701</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2.汽车制造类-新能源汽车技术460702</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3.汽车制造类-汽车电子技术460703</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4.汽车制造类-汽车造型与改装技术460705</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5.道路运输类-汽车检测与维修技术500211</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6.道路运输类-新能源汽车检测与维修技术500212</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（四）操控人员要求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1.具有正确使用常用检测仪器设备的能力；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2.具有传统汽车和新能源汽车维护的能力；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3.具有一定的汽车性能检测的能力；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4.具有汽车故障检测与排除的能力；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5.具有新能源汽车常规系统的检测与维修能力；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6.具有新能源汽车高压系统的检测与维修能力；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7.具有汽车维修业务接待和业务管理的能力；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8.具有查阅、应用汽车维修资料的能力；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9.具有发动机电控系统、车身电控系统、底盘电控系统、新能源汽车汽车基础知识；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10.具备发动机电控系统、车身电控系统、底盘电控系统、新能源汽车控制系统检修方法;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11.能依据检验标准完成发动机电控系统、车身电控系统、底盘电控系统质检;</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12.能依据新能源汽车动力系统检验标准完成质检;</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13.具有适应产业数字化发展需求的基本数字技能；</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14.具有专业相关的法律法规、绿色生产、环境保护、安全防护、质量管理、安全生产等知识与技能。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十、</w:t>
      </w:r>
      <w:r>
        <w:rPr>
          <w:rFonts w:ascii="黑体" w:hAnsi="宋体" w:eastAsia="黑体" w:cs="黑体"/>
          <w:color w:val="000000"/>
          <w:kern w:val="0"/>
          <w:sz w:val="24"/>
          <w:szCs w:val="24"/>
          <w:highlight w:val="none"/>
          <w:lang w:val="en-US" w:eastAsia="zh-CN" w:bidi="ar"/>
        </w:rPr>
        <w:t>技术平台</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技术平台见表3</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表3  技术平台</w:t>
      </w:r>
    </w:p>
    <w:tbl>
      <w:tblPr>
        <w:tblStyle w:val="10"/>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735"/>
        <w:gridCol w:w="936"/>
        <w:gridCol w:w="756"/>
        <w:gridCol w:w="1134"/>
        <w:gridCol w:w="5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序号</w:t>
            </w:r>
          </w:p>
        </w:tc>
        <w:tc>
          <w:tcPr>
            <w:tcW w:w="397"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竞赛模块</w:t>
            </w:r>
          </w:p>
        </w:tc>
        <w:tc>
          <w:tcPr>
            <w:tcW w:w="505"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产品</w:t>
            </w:r>
          </w:p>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名称</w:t>
            </w:r>
          </w:p>
        </w:tc>
        <w:tc>
          <w:tcPr>
            <w:tcW w:w="408"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品牌</w:t>
            </w:r>
          </w:p>
        </w:tc>
        <w:tc>
          <w:tcPr>
            <w:tcW w:w="612"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产品型号</w:t>
            </w:r>
          </w:p>
        </w:tc>
        <w:tc>
          <w:tcPr>
            <w:tcW w:w="2768"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14:textFill>
                  <w14:solidFill>
                    <w14:schemeClr w14:val="tx1"/>
                  </w14:solidFill>
                </w14:textFill>
              </w:rPr>
              <w:t>技术</w:t>
            </w: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p>
        </w:tc>
        <w:tc>
          <w:tcPr>
            <w:tcW w:w="397" w:type="pct"/>
            <w:vMerge w:val="restart"/>
            <w:noWrap w:val="0"/>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模块A汽车动力及底盘电控系统检修</w:t>
            </w:r>
          </w:p>
        </w:tc>
        <w:tc>
          <w:tcPr>
            <w:tcW w:w="505"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纯电动整车</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比亚迪</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秦EV</w:t>
            </w:r>
          </w:p>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2019款</w:t>
            </w:r>
          </w:p>
        </w:tc>
        <w:tc>
          <w:tcPr>
            <w:tcW w:w="2768"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1.车体：约长：4678mm；宽：1770mm；高：1500mm；轴距：2670mm；</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2.前轮距：约1525mm；后轮距：约1520mm；</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3.最高车速：130Km/h；</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4.工况续航里程：≥400km；</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5.车门数：4；座位数：5；</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6.车体结构：三厢轿车；</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7.转向助力：电动助力；</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8.前制动类型：通风盘；</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9.后制动类型：盘式；</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10.手刹类型：电子驻车制动；</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11.驱动方式：前轮驱动；</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12.前悬挂类型：麦弗逊式独立悬架；</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13.后悬挂类型：扭力梁式半独立悬挂。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新能源整车故障设置与检测连接平台</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FXB-DS2023-GZ8</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与纯电动整车实训平台配合使用，在不破坏原车任意一条线束的基础上将整车转变为在线检测故障教具车，可实现实时检测与诊断原车、静态信号参数。可对控制单元主要线路进行断路、短路、虚接、交叉错接等故障，具备机械故障设置，可采集控制原车整车控制器VCU控制单元、动力电池管理系统BMS控制单元、驱动电机控制单元、高压充配电总成控制单元、自动空调管理控制单元、EPS控制单元、EPB控制单元、智能钥匙控制单元、直流充电口、交流充电口、BCM车身电脑控制单元等系统的动、静态信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故障诊断仪</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FXB-DSQB202201</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1.原厂级诊断标准，可对亚欧美及国产全球上万种车型进行诊断和特殊功能匹配；</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2.原厂级维修资料，可在线查找故障维修资料包括电路图、故障分析步骤、故障位置图等；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一体化集成拆装工具</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FXB-DS2022-21</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ascii="仿宋_GB2312" w:hAnsi="宋体" w:eastAsia="仿宋_GB2312" w:cs="仿宋_GB2312"/>
                <w:color w:val="000000"/>
                <w:kern w:val="0"/>
                <w:sz w:val="21"/>
                <w:szCs w:val="21"/>
                <w:lang w:val="en-US" w:eastAsia="zh-CN" w:bidi="ar"/>
              </w:rPr>
              <w:t>包含</w:t>
            </w:r>
            <w:r>
              <w:rPr>
                <w:rFonts w:hint="default" w:ascii="Times New Roman" w:hAnsi="Times New Roman" w:eastAsia="宋体" w:cs="Times New Roman"/>
                <w:color w:val="000000"/>
                <w:kern w:val="0"/>
                <w:sz w:val="21"/>
                <w:szCs w:val="21"/>
                <w:lang w:val="en-US" w:eastAsia="zh-CN" w:bidi="ar"/>
              </w:rPr>
              <w:t xml:space="preserve">7 </w:t>
            </w:r>
            <w:r>
              <w:rPr>
                <w:rFonts w:hint="eastAsia" w:ascii="仿宋_GB2312" w:hAnsi="宋体" w:eastAsia="仿宋_GB2312" w:cs="仿宋_GB2312"/>
                <w:color w:val="000000"/>
                <w:kern w:val="0"/>
                <w:sz w:val="21"/>
                <w:szCs w:val="21"/>
                <w:lang w:val="en-US" w:eastAsia="zh-CN" w:bidi="ar"/>
              </w:rPr>
              <w:t>抽屉柜形多功能工具手推车、三层零件车，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配置1000V超强绝缘电压工具，配有检修灯、指针式扭矩扳手、冰点测试仪、检测笔、预置式扭矩扳手、水管拆装工具、水管堵头、橡皮锤、绝缘开口扳手、绝缘一字批、绝缘十字批、压线钳、油封安装工具、铲刀、卡簧钳、游标卡尺、钢直尺、气密性检测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手持示波器</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FXB-DS2019-20</w:t>
            </w:r>
          </w:p>
        </w:tc>
        <w:tc>
          <w:tcPr>
            <w:tcW w:w="2768" w:type="pct"/>
            <w:noWrap w:val="0"/>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1.双输入通道数字示波器</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2.带宽：100MHz</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3.垂直灵敏度：5mV/div-50V/div</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4.触发类型：脉宽、视频、边沿、交替</w:t>
            </w:r>
          </w:p>
          <w:p>
            <w:pPr>
              <w:pStyle w:val="2"/>
              <w:ind w:left="0" w:leftChars="0" w:firstLine="0" w:firstLineChars="0"/>
              <w:rPr>
                <w:rFonts w:hint="eastAsia"/>
                <w:lang w:val="en-US" w:eastAsia="zh-CN"/>
              </w:rPr>
            </w:pPr>
            <w:r>
              <w:rPr>
                <w:rFonts w:ascii="Times New Roman" w:hAnsi="Times New Roman" w:eastAsia="仿宋_GB2312"/>
                <w:color w:val="000000" w:themeColor="text1"/>
                <w:szCs w:val="21"/>
                <w:highlight w:val="none"/>
                <w14:textFill>
                  <w14:solidFill>
                    <w14:schemeClr w14:val="tx1"/>
                  </w14:solidFill>
                </w14:textFill>
              </w:rPr>
              <w:t>5.工作时间不低于7个小时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6</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万用接线盒</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FXB-DS2023-16</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1.主要强调各种规格的“T”型线，能满足轿车竞赛系统的所有保险丝、继电器、传感器、执行器插接测量之用，要有足够的通流能力和可重复插接使用能力。</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2.探针：具备测量方便，不破坏原车线束。</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3.鳄鱼夹：用以作暂时性电路连接。锯齿状的夹口可以牢牢地夹住要着色的零件，保证不会让零件松脱，个性化的绝缘设计，操作更安全。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7</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万用表</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FXB-DS2023-19</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性能稳定、可靠性手持式真有效值数字万用表、46段模拟条，可用来测量：1000V 直流/交流电压测量、20A交流/直流电流测试、电阻、电容、频率、占空比、二极管、三极管及电路通断、ACV + DCV测量、LPF(低通滤波)，配备专业NCV测量功能。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8</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人员及工位安全防护套装</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FXB-DSQB202302</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人员防护套装包括绝缘手套、耐磨手套、绝缘鞋、护目镜、安全帽等各1套。</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工位安全保护套装包括警示牌、隔离带套装、绝缘防护垫等各1套。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9</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绝缘工作台</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FXB-DS2022-69</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.工作台整体采用碳钢材质，整体强度结实牢靠，钢结构表面采用静电喷涂工艺进行处理；</w:t>
            </w:r>
          </w:p>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.桌面采用定制型防静电工作台面，有效保障在拆装过程中的安全操作。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10</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绝缘电阻测试仪</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FXB-DS2022-18</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大型6000字读数显示屏，带模拟条显示；</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2.带有</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遥控表笔测量，可单手操作，</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方便测量，提高安全性；</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COMP比较功能，绝缘电阻测量设定通过/失败比较值</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具有启动锁定/定时测量功能，六组定时时间可选；</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自动释放电压功能，提高用户操作安全性；</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5.绝缘</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步进</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测试</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功能，档位</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具有</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50</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V-1000V</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的步进绝缘</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多功能</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输出电压</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调节</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bookmarkStart w:id="5" w:name="_GoBack" w:colFirst="2" w:colLast="5"/>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11</w:t>
            </w:r>
          </w:p>
        </w:tc>
        <w:tc>
          <w:tcPr>
            <w:tcW w:w="397" w:type="pct"/>
            <w:vMerge w:val="restar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模块B发动机及车身电控系统故障检修</w:t>
            </w: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燃油整车</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一汽大众</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380TSI+DSG 国Ⅵ</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采用</w:t>
            </w:r>
            <w:r>
              <w:rPr>
                <w:rFonts w:hint="eastAsia" w:ascii="Times New Roman" w:hAnsi="Times New Roman" w:eastAsia="仿宋_GB2312" w:cs="Times New Roman"/>
                <w:color w:val="000000" w:themeColor="text1"/>
                <w:szCs w:val="21"/>
                <w:highlight w:val="none"/>
                <w14:textFill>
                  <w14:solidFill>
                    <w14:schemeClr w14:val="tx1"/>
                  </w14:solidFill>
                </w14:textFill>
              </w:rPr>
              <w:t>迈腾B8L整车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具备完整的动力、制动、传动、转向、行驶、电气、空调及控制系统，各种工况正常，可以正常启动、行驶、制动。能够通过诊断电脑，执行读取车辆信息、读取故障代码、数据流、执行元件测试等操作。</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12</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整车故障设置与检测连接平台</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vw6606-2023</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整车故障设置与检测连接平台由整车故障设置与检测连接平台（A+B）</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智能化教考服务平台</w:t>
            </w:r>
            <w:r>
              <w:rPr>
                <w:rFonts w:hint="eastAsia" w:ascii="Times New Roman" w:hAnsi="Times New Roman" w:eastAsia="仿宋_GB2312" w:cs="Times New Roman"/>
                <w:color w:val="000000" w:themeColor="text1"/>
                <w:szCs w:val="21"/>
                <w:highlight w:val="none"/>
                <w14:textFill>
                  <w14:solidFill>
                    <w14:schemeClr w14:val="tx1"/>
                  </w14:solidFill>
                </w14:textFill>
              </w:rPr>
              <w:t>组成</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整车故障设置与检测连接平台（A+B）</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A+B）可同时与全新迈腾B8L整车进行无损连接，可同时实现发动机电控系统、车身电控系统双模块的信号测量和故障设置。与车辆进行无损连接后，可对汽车发动机控制单元J623、车载电网控制单元J519、车门控制单元J386、J387、进入及启动许可系统J965、网关J533进行原车配套的检测与诊断。</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集成工具管理车由多层可自锁抽屉组成存储空间，上部安装有榉木工作台面，便于放置实训器材</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工作车下部多层分类存储抽屉，可按照拆装工具层、存储空间、智能终端、检测工具的划分，分门别类地将所需的实训工量具进行集中管理，每个抽屉层板上铺设有EVA切割泡棉，根据工件的形状激光雕刻一次成型并牢牢地镶嵌其中。有效实现了工具、设备、测量工具的集中管理与储藏，大大方便了实际工作的开展</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Cs w:val="21"/>
                <w:highlight w:val="none"/>
                <w14:textFill>
                  <w14:solidFill>
                    <w14:schemeClr w14:val="tx1"/>
                  </w14:solidFill>
                </w14:textFill>
              </w:rPr>
              <w:t>智能化教考服务平台</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智能化教考服务平台集教/练/考/评于一体，是与整车及整车故障设置平台深度融合的系统化云平台。该平台基于院校在比赛训练及日常教学过程中所遇到的诸如技术资料缺失、技术数据不明确、训练标准不统一、操作动作不规范、训练过程难量化、作业记录表解析不到位、技术服务时效性差等痛点问题而开发，一站式解决实训及教学过程中教师“教”和学生“学”的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13</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汽车故障诊断仪</w:t>
            </w:r>
          </w:p>
        </w:tc>
        <w:tc>
          <w:tcPr>
            <w:tcW w:w="408" w:type="pct"/>
            <w:noWrap/>
            <w:vAlign w:val="center"/>
          </w:tcPr>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星卡</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X8</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1.双诊断模式，除支持本地诊断外还支持视频远程诊断和远程控制支持DoIP/D-PDU/RP1210三大诊断标准</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2.支持国产车原厂级诊断及设码</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3.支持通用、大众、奥迪、宝马四款软件的在线编程。</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4.支持胎压诊断功能，可实现胎压传感器的激活、编程和学习功能高性能硬件配置，64G大存储</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12600mAh大容量钾电池，并配备800万后置摄像头</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5.共集合34项保养特殊功能</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6.智能诊断系统拓扑图显示，展示整车系统通讯状态、系统配置及故障信息、支持ADAS高级驾驶辅助系统标定工具。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14</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汽车专用示波器</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VW-DSO-001</w:t>
            </w:r>
          </w:p>
        </w:tc>
        <w:tc>
          <w:tcPr>
            <w:tcW w:w="2768" w:type="pct"/>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1.</w:t>
            </w:r>
            <w:r>
              <w:rPr>
                <w:rFonts w:ascii="仿宋_GB2312" w:hAnsi="宋体" w:eastAsia="仿宋_GB2312" w:cs="仿宋_GB2312"/>
                <w:color w:val="000000"/>
                <w:kern w:val="0"/>
                <w:sz w:val="21"/>
                <w:szCs w:val="21"/>
                <w:lang w:val="en-US" w:eastAsia="zh-CN" w:bidi="ar"/>
              </w:rPr>
              <w:t xml:space="preserve">双输入通道数字示波器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2.</w:t>
            </w:r>
            <w:r>
              <w:rPr>
                <w:rFonts w:hint="eastAsia" w:ascii="仿宋_GB2312" w:hAnsi="宋体" w:eastAsia="仿宋_GB2312" w:cs="仿宋_GB2312"/>
                <w:color w:val="000000"/>
                <w:kern w:val="0"/>
                <w:sz w:val="21"/>
                <w:szCs w:val="21"/>
                <w:lang w:val="en-US" w:eastAsia="zh-CN" w:bidi="ar"/>
              </w:rPr>
              <w:t>带宽：</w:t>
            </w:r>
            <w:r>
              <w:rPr>
                <w:rFonts w:hint="default" w:ascii="Times New Roman" w:hAnsi="Times New Roman" w:eastAsia="宋体" w:cs="Times New Roman"/>
                <w:color w:val="000000"/>
                <w:kern w:val="0"/>
                <w:sz w:val="21"/>
                <w:szCs w:val="21"/>
                <w:lang w:val="en-US" w:eastAsia="zh-CN" w:bidi="ar"/>
              </w:rPr>
              <w:t xml:space="preserve">100MHz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3.</w:t>
            </w:r>
            <w:r>
              <w:rPr>
                <w:rFonts w:hint="eastAsia" w:ascii="仿宋_GB2312" w:hAnsi="宋体" w:eastAsia="仿宋_GB2312" w:cs="仿宋_GB2312"/>
                <w:color w:val="000000"/>
                <w:kern w:val="0"/>
                <w:sz w:val="21"/>
                <w:szCs w:val="21"/>
                <w:lang w:val="en-US" w:eastAsia="zh-CN" w:bidi="ar"/>
              </w:rPr>
              <w:t>垂直灵敏度：</w:t>
            </w:r>
            <w:r>
              <w:rPr>
                <w:rFonts w:hint="default" w:ascii="Times New Roman" w:hAnsi="Times New Roman" w:eastAsia="宋体" w:cs="Times New Roman"/>
                <w:color w:val="000000"/>
                <w:kern w:val="0"/>
                <w:sz w:val="21"/>
                <w:szCs w:val="21"/>
                <w:lang w:val="en-US" w:eastAsia="zh-CN" w:bidi="ar"/>
              </w:rPr>
              <w:t xml:space="preserve">5mv/div-50v/div </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4.</w:t>
            </w:r>
            <w:r>
              <w:rPr>
                <w:rFonts w:hint="eastAsia" w:ascii="仿宋_GB2312" w:hAnsi="宋体" w:eastAsia="仿宋_GB2312" w:cs="仿宋_GB2312"/>
                <w:color w:val="000000"/>
                <w:kern w:val="0"/>
                <w:sz w:val="21"/>
                <w:szCs w:val="21"/>
                <w:lang w:val="en-US" w:eastAsia="zh-CN" w:bidi="ar"/>
              </w:rPr>
              <w:t xml:space="preserve">触发类型：脉宽、视频、边沿、交替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15</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05" w:type="pct"/>
            <w:noWrap/>
            <w:vAlign w:val="center"/>
          </w:tcPr>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汽车专用数字万用表</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优利德</w:t>
            </w:r>
          </w:p>
        </w:tc>
        <w:tc>
          <w:tcPr>
            <w:tcW w:w="612" w:type="pct"/>
            <w:noWrap/>
            <w:vAlign w:val="center"/>
          </w:tcPr>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UT61E</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具有超大屏幕数字和高解析度模拟指针的同步显示功能，全量程过载保护。</w:t>
            </w:r>
            <w:r>
              <w:rPr>
                <w:rFonts w:hint="eastAsia" w:ascii="仿宋_GB2312" w:hAnsi="宋体" w:eastAsia="仿宋_GB2312" w:cs="仿宋_GB2312"/>
                <w:color w:val="000000"/>
                <w:kern w:val="0"/>
                <w:sz w:val="21"/>
                <w:szCs w:val="21"/>
                <w:lang w:val="en-US" w:eastAsia="zh-CN" w:bidi="ar"/>
              </w:rPr>
              <w:t>可测试直流电压（</w:t>
            </w:r>
            <w:r>
              <w:rPr>
                <w:rFonts w:hint="default" w:ascii="Times New Roman" w:hAnsi="Times New Roman" w:eastAsia="宋体" w:cs="Times New Roman"/>
                <w:color w:val="000000"/>
                <w:kern w:val="0"/>
                <w:sz w:val="21"/>
                <w:szCs w:val="21"/>
                <w:lang w:val="en-US" w:eastAsia="zh-CN" w:bidi="ar"/>
              </w:rPr>
              <w:t>DC1000V</w:t>
            </w:r>
            <w:r>
              <w:rPr>
                <w:rFonts w:hint="eastAsia" w:ascii="仿宋_GB2312" w:hAnsi="宋体" w:eastAsia="仿宋_GB2312" w:cs="仿宋_GB2312"/>
                <w:color w:val="000000"/>
                <w:kern w:val="0"/>
                <w:sz w:val="21"/>
                <w:szCs w:val="21"/>
                <w:lang w:val="en-US" w:eastAsia="zh-CN" w:bidi="ar"/>
              </w:rPr>
              <w:t>）、交流电压（</w:t>
            </w:r>
            <w:r>
              <w:rPr>
                <w:rFonts w:hint="default" w:ascii="Times New Roman" w:hAnsi="Times New Roman" w:eastAsia="宋体" w:cs="Times New Roman"/>
                <w:color w:val="000000"/>
                <w:kern w:val="0"/>
                <w:sz w:val="21"/>
                <w:szCs w:val="21"/>
                <w:lang w:val="en-US" w:eastAsia="zh-CN" w:bidi="ar"/>
              </w:rPr>
              <w:t>AC750V</w:t>
            </w:r>
            <w:r>
              <w:rPr>
                <w:rFonts w:hint="eastAsia" w:ascii="仿宋_GB2312" w:hAnsi="宋体" w:eastAsia="仿宋_GB2312" w:cs="仿宋_GB2312"/>
                <w:color w:val="000000"/>
                <w:kern w:val="0"/>
                <w:sz w:val="21"/>
                <w:szCs w:val="21"/>
                <w:lang w:val="en-US" w:eastAsia="zh-CN" w:bidi="ar"/>
              </w:rPr>
              <w:t>）、电阻、电容、频率、直流电流、交流电流、二极管测试、通断报警、低压显示、等功能。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16</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万用接线盒</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CRF-RYC-DS-JXH</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产品配套全新迈腾B8L使用，方便学生在实际故障诊断过程中进行线路搭接和信号测量。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17</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拆装工具</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CRF-RYC-DS-CZGJ</w:t>
            </w:r>
          </w:p>
        </w:tc>
        <w:tc>
          <w:tcPr>
            <w:tcW w:w="2768" w:type="pct"/>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1.</w:t>
            </w:r>
            <w:r>
              <w:rPr>
                <w:rFonts w:ascii="仿宋_GB2312" w:hAnsi="宋体" w:eastAsia="仿宋_GB2312" w:cs="仿宋_GB2312"/>
                <w:color w:val="000000"/>
                <w:kern w:val="0"/>
                <w:sz w:val="21"/>
                <w:szCs w:val="21"/>
                <w:lang w:val="en-US" w:eastAsia="zh-CN" w:bidi="ar"/>
              </w:rPr>
              <w:t>工具车下部共含有多层分类存储抽屉</w:t>
            </w:r>
            <w:r>
              <w:rPr>
                <w:rFonts w:hint="eastAsia" w:ascii="仿宋_GB2312" w:hAnsi="宋体" w:eastAsia="仿宋_GB2312" w:cs="仿宋_GB2312"/>
                <w:color w:val="000000"/>
                <w:kern w:val="0"/>
                <w:sz w:val="21"/>
                <w:szCs w:val="21"/>
                <w:lang w:val="en-US" w:eastAsia="zh-CN" w:bidi="ar"/>
              </w:rPr>
              <w:t>；</w:t>
            </w:r>
            <w:r>
              <w:rPr>
                <w:rFonts w:ascii="仿宋_GB2312" w:hAnsi="宋体" w:eastAsia="仿宋_GB2312" w:cs="仿宋_GB2312"/>
                <w:color w:val="000000"/>
                <w:kern w:val="0"/>
                <w:sz w:val="21"/>
                <w:szCs w:val="21"/>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2.</w:t>
            </w:r>
            <w:r>
              <w:rPr>
                <w:rFonts w:hint="eastAsia" w:ascii="仿宋_GB2312" w:hAnsi="宋体" w:eastAsia="仿宋_GB2312" w:cs="仿宋_GB2312"/>
                <w:color w:val="000000"/>
                <w:kern w:val="0"/>
                <w:sz w:val="21"/>
                <w:szCs w:val="21"/>
                <w:lang w:val="en-US" w:eastAsia="zh-CN" w:bidi="ar"/>
              </w:rPr>
              <w:t xml:space="preserve">工具车底部配备有两个专用充气轮胎以及两个万向脚轮，移动灵活，安全可靠、坚固耐； </w:t>
            </w:r>
          </w:p>
          <w:p>
            <w:pPr>
              <w:keepNext w:val="0"/>
              <w:keepLines w:val="0"/>
              <w:widowControl/>
              <w:suppressLineNumbers w:val="0"/>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w:t>
            </w:r>
            <w:r>
              <w:rPr>
                <w:rFonts w:hint="eastAsia" w:ascii="仿宋_GB2312" w:hAnsi="宋体" w:eastAsia="仿宋_GB2312" w:cs="仿宋_GB2312"/>
                <w:color w:val="000000"/>
                <w:kern w:val="0"/>
                <w:sz w:val="21"/>
                <w:szCs w:val="21"/>
                <w:lang w:val="en-US" w:eastAsia="zh-CN" w:bidi="ar"/>
              </w:rPr>
              <w:t>配套尺寸的长短套筒、汽动铬钼钢加长套筒、万向接头、转换接头、接杆、防滑压花梅开扳手、新款棘轮扳手、防滑压花油管扳手、可调型扭力扳手、汽车专用测电笔、汽车内饰拆装组、护目镜、手电筒等。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18</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05"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充电机</w:t>
            </w:r>
          </w:p>
        </w:tc>
        <w:tc>
          <w:tcPr>
            <w:tcW w:w="408"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61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CRF-RYC-DS-CDJ</w:t>
            </w:r>
          </w:p>
        </w:tc>
        <w:tc>
          <w:tcPr>
            <w:tcW w:w="2768"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充电机采用智能化设计，具备防短接功能，最大充电电流≥70A，可以选择电流、电压、电量的充电模式，也可以选择普通、AGM、GEL等电池类型。操作过程中正确连接充电机，可有效防止车辆因实验而导致亏电，造成干扰性故障。</w:t>
            </w:r>
          </w:p>
        </w:tc>
      </w:tr>
    </w:tbl>
    <w:p>
      <w:pPr>
        <w:rPr>
          <w:rFonts w:ascii="Times New Roman" w:hAnsi="Times New Roman"/>
          <w:color w:val="000000" w:themeColor="text1"/>
          <w:highlight w:val="none"/>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十一、成绩评定</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（一）评分标准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1.评分方法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
        </w:rPr>
        <w:t>赛项最终得分按百分制计算，各参赛教师成绩为 2 个竞赛模块成绩的加权总和。具体评分细则如表 4 所示。</w:t>
      </w:r>
    </w:p>
    <w:tbl>
      <w:tblPr>
        <w:tblStyle w:val="10"/>
        <w:tblpPr w:leftFromText="180" w:rightFromText="180" w:vertAnchor="text" w:tblpX="10551"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38" w:type="dxa"/>
          </w:tcPr>
          <w:p>
            <w:pPr>
              <w:pStyle w:val="9"/>
              <w:spacing w:line="360" w:lineRule="auto"/>
              <w:ind w:firstLine="480"/>
              <w:rPr>
                <w:rFonts w:ascii="Times New Roman" w:hAnsi="Times New Roman"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38" w:type="dxa"/>
          </w:tcPr>
          <w:p>
            <w:pPr>
              <w:pStyle w:val="9"/>
              <w:spacing w:line="360" w:lineRule="auto"/>
              <w:ind w:firstLine="480"/>
              <w:rPr>
                <w:rFonts w:ascii="Times New Roman" w:hAnsi="Times New Roman" w:eastAsia="仿宋"/>
                <w:color w:val="000000" w:themeColor="text1"/>
                <w:sz w:val="24"/>
                <w:highlight w:val="none"/>
                <w14:textFill>
                  <w14:solidFill>
                    <w14:schemeClr w14:val="tx1"/>
                  </w14:solidFill>
                </w14:textFill>
              </w:rPr>
            </w:pPr>
          </w:p>
        </w:tc>
      </w:tr>
    </w:tbl>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表4 评分细则</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3"/>
        <w:gridCol w:w="1249"/>
        <w:gridCol w:w="3504"/>
        <w:gridCol w:w="1308"/>
        <w:gridCol w:w="1044"/>
        <w:gridCol w:w="1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1063"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模块</w:t>
            </w:r>
          </w:p>
        </w:tc>
        <w:tc>
          <w:tcPr>
            <w:tcW w:w="1249"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序号</w:t>
            </w:r>
          </w:p>
        </w:tc>
        <w:tc>
          <w:tcPr>
            <w:tcW w:w="350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内容</w:t>
            </w:r>
          </w:p>
        </w:tc>
        <w:tc>
          <w:tcPr>
            <w:tcW w:w="1308"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分值</w:t>
            </w:r>
          </w:p>
        </w:tc>
        <w:tc>
          <w:tcPr>
            <w:tcW w:w="104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合计</w:t>
            </w:r>
          </w:p>
        </w:tc>
        <w:tc>
          <w:tcPr>
            <w:tcW w:w="1028"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1063" w:type="dxa"/>
            <w:vMerge w:val="restart"/>
            <w:vAlign w:val="bottom"/>
          </w:tcPr>
          <w:p>
            <w:pPr>
              <w:adjustRightInd w:val="0"/>
              <w:snapToGrid w:val="0"/>
              <w:spacing w:line="360" w:lineRule="auto"/>
              <w:ind w:right="210" w:rightChars="100"/>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模块A</w:t>
            </w:r>
          </w:p>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0</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工作组织与安全</w:t>
            </w:r>
          </w:p>
        </w:tc>
        <w:tc>
          <w:tcPr>
            <w:tcW w:w="1308"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w:t>
            </w:r>
            <w:r>
              <w:rPr>
                <w:rFonts w:ascii="Times New Roman" w:hAnsi="Times New Roman" w:eastAsia="仿宋_GB2312"/>
                <w:bCs/>
                <w:color w:val="000000" w:themeColor="text1"/>
                <w:szCs w:val="21"/>
                <w:highlight w:val="none"/>
                <w14:textFill>
                  <w14:solidFill>
                    <w14:schemeClr w14:val="tx1"/>
                  </w14:solidFill>
                </w14:textFill>
              </w:rPr>
              <w:t>0</w:t>
            </w:r>
          </w:p>
        </w:tc>
        <w:tc>
          <w:tcPr>
            <w:tcW w:w="104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028" w:type="dxa"/>
            <w:vMerge w:val="restart"/>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0.</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w:t>
            </w:r>
          </w:p>
        </w:tc>
        <w:tc>
          <w:tcPr>
            <w:tcW w:w="3504" w:type="dxa"/>
            <w:tcBorders>
              <w:bottom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 xml:space="preserve">任务一 </w:t>
            </w:r>
            <w:r>
              <w:rPr>
                <w:rFonts w:ascii="Times New Roman" w:hAnsi="Times New Roman" w:eastAsia="仿宋_GB2312"/>
                <w:bCs/>
                <w:color w:val="000000" w:themeColor="text1"/>
                <w:szCs w:val="21"/>
                <w:highlight w:val="none"/>
                <w14:textFill>
                  <w14:solidFill>
                    <w14:schemeClr w14:val="tx1"/>
                  </w14:solidFill>
                </w14:textFill>
              </w:rPr>
              <w:t>汽车动力控制系统故障检修</w:t>
            </w:r>
          </w:p>
        </w:tc>
        <w:tc>
          <w:tcPr>
            <w:tcW w:w="1308" w:type="dxa"/>
            <w:vMerge w:val="restart"/>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w:t>
            </w:r>
          </w:p>
        </w:tc>
        <w:tc>
          <w:tcPr>
            <w:tcW w:w="3504" w:type="dxa"/>
            <w:tcBorders>
              <w:top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w:t>
            </w:r>
            <w:r>
              <w:rPr>
                <w:rFonts w:hint="eastAsia" w:ascii="仿宋_GB2312" w:hAnsi="宋体" w:eastAsia="仿宋_GB2312" w:cs="仿宋_GB2312"/>
                <w:color w:val="000000"/>
                <w:kern w:val="0"/>
                <w:sz w:val="21"/>
                <w:szCs w:val="21"/>
                <w:highlight w:val="none"/>
                <w:lang w:val="en-US" w:eastAsia="zh-CN" w:bidi="ar"/>
              </w:rPr>
              <w:t xml:space="preserve">二 </w:t>
            </w:r>
            <w:r>
              <w:rPr>
                <w:rFonts w:ascii="Times New Roman" w:hAnsi="Times New Roman" w:eastAsia="仿宋_GB2312"/>
                <w:bCs/>
                <w:color w:val="000000" w:themeColor="text1"/>
                <w:szCs w:val="21"/>
                <w:highlight w:val="none"/>
                <w14:textFill>
                  <w14:solidFill>
                    <w14:schemeClr w14:val="tx1"/>
                  </w14:solidFill>
                </w14:textFill>
              </w:rPr>
              <w:t>汽车底盘电控系统故障检修</w:t>
            </w:r>
          </w:p>
        </w:tc>
        <w:tc>
          <w:tcPr>
            <w:tcW w:w="1308" w:type="dxa"/>
            <w:vMerge w:val="continue"/>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default" w:ascii="Times New Roman" w:hAnsi="Times New Roman" w:eastAsia="仿宋_GB2312"/>
                <w:bCs/>
                <w:color w:val="000000" w:themeColor="text1"/>
                <w:szCs w:val="21"/>
                <w:highlight w:val="none"/>
                <w:lang w:val="en-US" w:eastAsia="zh-CN"/>
                <w14:textFill>
                  <w14:solidFill>
                    <w14:schemeClr w14:val="tx1"/>
                  </w14:solidFill>
                </w14:textFill>
              </w:rPr>
              <w:t>A3</w:t>
            </w:r>
          </w:p>
        </w:tc>
        <w:tc>
          <w:tcPr>
            <w:tcW w:w="3504" w:type="dxa"/>
            <w:tcBorders>
              <w:top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任务三</w:t>
            </w:r>
            <w:r>
              <w:rPr>
                <w:rFonts w:hint="eastAsia" w:ascii="仿宋_GB2312" w:hAnsi="宋体" w:eastAsia="仿宋_GB2312" w:cs="仿宋_GB2312"/>
                <w:color w:val="000000"/>
                <w:kern w:val="0"/>
                <w:sz w:val="21"/>
                <w:szCs w:val="21"/>
                <w:highlight w:val="none"/>
                <w:lang w:val="en-US" w:eastAsia="zh-CN" w:bidi="ar"/>
              </w:rPr>
              <w:t xml:space="preserve"> </w:t>
            </w:r>
            <w:r>
              <w:rPr>
                <w:rFonts w:ascii="仿宋_GB2312" w:hAnsi="宋体" w:eastAsia="仿宋_GB2312" w:cs="仿宋_GB2312"/>
                <w:color w:val="000000"/>
                <w:kern w:val="0"/>
                <w:sz w:val="21"/>
                <w:szCs w:val="21"/>
                <w:highlight w:val="none"/>
                <w:lang w:val="en-US" w:eastAsia="zh-CN" w:bidi="ar"/>
              </w:rPr>
              <w:t>电动汽车故障设计与分析</w:t>
            </w:r>
          </w:p>
        </w:tc>
        <w:tc>
          <w:tcPr>
            <w:tcW w:w="1308" w:type="dxa"/>
            <w:tcBorders>
              <w:top w:val="single" w:color="auto" w:sz="4" w:space="0"/>
            </w:tcBorders>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1063"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模块B</w:t>
            </w:r>
          </w:p>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0</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工作组织与安全</w:t>
            </w:r>
          </w:p>
        </w:tc>
        <w:tc>
          <w:tcPr>
            <w:tcW w:w="1308" w:type="dxa"/>
            <w:tcBorders>
              <w:bottom w:val="single" w:color="auto" w:sz="4" w:space="0"/>
            </w:tcBorders>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10</w:t>
            </w:r>
          </w:p>
        </w:tc>
        <w:tc>
          <w:tcPr>
            <w:tcW w:w="104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028" w:type="dxa"/>
            <w:vMerge w:val="restart"/>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0.</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w:t>
            </w:r>
          </w:p>
        </w:tc>
        <w:tc>
          <w:tcPr>
            <w:tcW w:w="3504" w:type="dxa"/>
            <w:tcBorders>
              <w:bottom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w:t>
            </w:r>
            <w:r>
              <w:rPr>
                <w:rFonts w:hint="eastAsia" w:ascii="仿宋_GB2312" w:hAnsi="宋体" w:eastAsia="仿宋_GB2312" w:cs="仿宋_GB2312"/>
                <w:color w:val="000000"/>
                <w:kern w:val="0"/>
                <w:sz w:val="21"/>
                <w:szCs w:val="21"/>
                <w:highlight w:val="none"/>
                <w:lang w:val="en-US" w:eastAsia="zh-CN" w:bidi="ar"/>
              </w:rPr>
              <w:t xml:space="preserve">四 </w:t>
            </w:r>
            <w:r>
              <w:rPr>
                <w:rFonts w:ascii="Times New Roman" w:hAnsi="Times New Roman" w:eastAsia="仿宋_GB2312"/>
                <w:bCs/>
                <w:color w:val="000000" w:themeColor="text1"/>
                <w:szCs w:val="21"/>
                <w:highlight w:val="none"/>
                <w14:textFill>
                  <w14:solidFill>
                    <w14:schemeClr w14:val="tx1"/>
                  </w14:solidFill>
                </w14:textFill>
              </w:rPr>
              <w:t>发动机电控系统故障检修</w:t>
            </w:r>
          </w:p>
        </w:tc>
        <w:tc>
          <w:tcPr>
            <w:tcW w:w="1308" w:type="dxa"/>
            <w:vMerge w:val="restart"/>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w:t>
            </w:r>
          </w:p>
        </w:tc>
        <w:tc>
          <w:tcPr>
            <w:tcW w:w="3504" w:type="dxa"/>
            <w:tcBorders>
              <w:top w:val="single" w:color="auto" w:sz="4" w:space="0"/>
              <w:bottom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w:t>
            </w:r>
            <w:r>
              <w:rPr>
                <w:rFonts w:hint="eastAsia" w:ascii="仿宋_GB2312" w:hAnsi="宋体" w:eastAsia="仿宋_GB2312" w:cs="仿宋_GB2312"/>
                <w:color w:val="000000"/>
                <w:kern w:val="0"/>
                <w:sz w:val="21"/>
                <w:szCs w:val="21"/>
                <w:highlight w:val="none"/>
                <w:lang w:val="en-US" w:eastAsia="zh-CN" w:bidi="ar"/>
              </w:rPr>
              <w:t xml:space="preserve">五 </w:t>
            </w:r>
            <w:r>
              <w:rPr>
                <w:rFonts w:ascii="Times New Roman" w:hAnsi="Times New Roman" w:eastAsia="仿宋_GB2312"/>
                <w:bCs/>
                <w:color w:val="000000" w:themeColor="text1"/>
                <w:szCs w:val="21"/>
                <w:highlight w:val="none"/>
                <w14:textFill>
                  <w14:solidFill>
                    <w14:schemeClr w14:val="tx1"/>
                  </w14:solidFill>
                </w14:textFill>
              </w:rPr>
              <w:t>车身电控系统故障检修</w:t>
            </w:r>
          </w:p>
        </w:tc>
        <w:tc>
          <w:tcPr>
            <w:tcW w:w="1308" w:type="dxa"/>
            <w:vMerge w:val="continue"/>
            <w:tcBorders>
              <w:bottom w:val="single" w:color="auto" w:sz="4" w:space="0"/>
            </w:tcBorders>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default" w:ascii="Times New Roman" w:hAnsi="Times New Roman" w:eastAsia="仿宋_GB2312"/>
                <w:bCs/>
                <w:color w:val="000000" w:themeColor="text1"/>
                <w:szCs w:val="21"/>
                <w:highlight w:val="none"/>
                <w:lang w:val="en-US" w:eastAsia="zh-CN"/>
                <w14:textFill>
                  <w14:solidFill>
                    <w14:schemeClr w14:val="tx1"/>
                  </w14:solidFill>
                </w14:textFill>
              </w:rPr>
              <w:t>B3</w:t>
            </w:r>
          </w:p>
        </w:tc>
        <w:tc>
          <w:tcPr>
            <w:tcW w:w="3504" w:type="dxa"/>
            <w:tcBorders>
              <w:top w:val="single" w:color="auto" w:sz="4" w:space="0"/>
            </w:tcBorders>
            <w:vAlign w:val="center"/>
          </w:tcPr>
          <w:p>
            <w:pPr>
              <w:keepNext w:val="0"/>
              <w:keepLines w:val="0"/>
              <w:widowControl/>
              <w:suppressLineNumbers w:val="0"/>
              <w:jc w:val="left"/>
              <w:rPr>
                <w:rFonts w:ascii="Times New Roman" w:hAnsi="Times New Roman" w:eastAsia="仿宋_GB2312"/>
                <w:bCs/>
                <w:color w:val="000000" w:themeColor="text1"/>
                <w:szCs w:val="21"/>
                <w:highlight w:val="none"/>
                <w14:textFill>
                  <w14:solidFill>
                    <w14:schemeClr w14:val="tx1"/>
                  </w14:solidFill>
                </w14:textFill>
              </w:rPr>
            </w:pPr>
            <w:r>
              <w:rPr>
                <w:rFonts w:ascii="仿宋_GB2312" w:hAnsi="宋体" w:eastAsia="仿宋_GB2312" w:cs="仿宋_GB2312"/>
                <w:color w:val="000000"/>
                <w:kern w:val="0"/>
                <w:sz w:val="21"/>
                <w:szCs w:val="21"/>
                <w:highlight w:val="none"/>
                <w:lang w:val="en-US" w:eastAsia="zh-CN" w:bidi="ar"/>
              </w:rPr>
              <w:t>任务六</w:t>
            </w:r>
            <w:r>
              <w:rPr>
                <w:rFonts w:hint="eastAsia" w:ascii="仿宋_GB2312" w:hAnsi="宋体" w:eastAsia="仿宋_GB2312" w:cs="仿宋_GB2312"/>
                <w:color w:val="000000"/>
                <w:kern w:val="0"/>
                <w:sz w:val="21"/>
                <w:szCs w:val="21"/>
                <w:highlight w:val="none"/>
                <w:lang w:val="en-US" w:eastAsia="zh-CN" w:bidi="ar"/>
              </w:rPr>
              <w:t xml:space="preserve"> </w:t>
            </w:r>
            <w:r>
              <w:rPr>
                <w:rFonts w:ascii="仿宋_GB2312" w:hAnsi="宋体" w:eastAsia="仿宋_GB2312" w:cs="仿宋_GB2312"/>
                <w:color w:val="000000"/>
                <w:kern w:val="0"/>
                <w:sz w:val="21"/>
                <w:szCs w:val="21"/>
                <w:highlight w:val="none"/>
                <w:lang w:val="en-US" w:eastAsia="zh-CN" w:bidi="ar"/>
              </w:rPr>
              <w:t>发动机故障设计与分析</w:t>
            </w:r>
          </w:p>
        </w:tc>
        <w:tc>
          <w:tcPr>
            <w:tcW w:w="1308" w:type="dxa"/>
            <w:tcBorders>
              <w:top w:val="single" w:color="auto" w:sz="4" w:space="0"/>
            </w:tcBorders>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bl>
    <w:p>
      <w:pPr>
        <w:rPr>
          <w:rFonts w:ascii="Times New Roman" w:hAnsi="Times New Roman"/>
          <w:color w:val="000000" w:themeColor="text1"/>
          <w:highlight w:val="none"/>
          <w14:textFill>
            <w14:solidFill>
              <w14:schemeClr w14:val="tx1"/>
            </w14:solidFill>
          </w14:textFill>
        </w:rPr>
      </w:pPr>
    </w:p>
    <w:tbl>
      <w:tblPr>
        <w:tblStyle w:val="10"/>
        <w:tblpPr w:leftFromText="180" w:rightFromText="180" w:vertAnchor="text" w:tblpX="10551" w:tblpY="-1009"/>
        <w:tblOverlap w:val="never"/>
        <w:tblW w:w="2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826" w:type="dxa"/>
          </w:tcPr>
          <w:p>
            <w:pPr>
              <w:rPr>
                <w:rFonts w:ascii="Times New Roman" w:hAnsi="Times New Roman"/>
                <w:color w:val="000000" w:themeColor="text1"/>
                <w:highlight w:val="none"/>
                <w14:textFill>
                  <w14:solidFill>
                    <w14:schemeClr w14:val="tx1"/>
                  </w14:solidFill>
                </w14:textFill>
              </w:rPr>
            </w:pPr>
          </w:p>
        </w:tc>
      </w:tr>
    </w:tbl>
    <w:p>
      <w:pPr>
        <w:rPr>
          <w:rFonts w:ascii="Times New Roman" w:hAnsi="Times New Roman"/>
          <w:vanish/>
          <w:color w:val="000000" w:themeColor="text1"/>
          <w:highlight w:val="none"/>
          <w14:textFill>
            <w14:solidFill>
              <w14:schemeClr w14:val="tx1"/>
            </w14:solidFill>
          </w14:textFill>
        </w:rPr>
      </w:pPr>
    </w:p>
    <w:tbl>
      <w:tblPr>
        <w:tblStyle w:val="10"/>
        <w:tblpPr w:leftFromText="180" w:rightFromText="180" w:vertAnchor="text" w:tblpX="10551" w:tblpY="59"/>
        <w:tblOverlap w:val="never"/>
        <w:tblW w:w="1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90"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90" w:type="dxa"/>
          </w:tcPr>
          <w:p>
            <w:pPr>
              <w:pStyle w:val="9"/>
              <w:ind w:firstLine="480"/>
              <w:rPr>
                <w:rFonts w:ascii="Times New Roman" w:hAnsi="Times New Roman" w:eastAsia="仿宋"/>
                <w:color w:val="000000" w:themeColor="text1"/>
                <w:sz w:val="24"/>
                <w:highlight w:val="none"/>
                <w14:textFill>
                  <w14:solidFill>
                    <w14:schemeClr w14:val="tx1"/>
                  </w14:solidFill>
                </w14:textFill>
              </w:rPr>
            </w:pPr>
          </w:p>
        </w:tc>
      </w:tr>
    </w:tbl>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2.违规扣分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（1）在完成工作任务的过程中，因操作不当导致人身或设备安全事故每次扣10分，直至取消比赛资格。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（2）损坏赛场提供的设备，污染赛场环境等不符合职业规范的行为扣5分</w:t>
      </w:r>
      <w:r>
        <w:rPr>
          <w:rFonts w:hint="default" w:ascii="Times New Roman" w:hAnsi="Times New Roman" w:eastAsia="宋体" w:cs="Times New Roman"/>
          <w:color w:val="000000"/>
          <w:kern w:val="0"/>
          <w:sz w:val="28"/>
          <w:szCs w:val="28"/>
          <w:highlight w:val="none"/>
          <w:lang w:val="en-US" w:eastAsia="zh-CN" w:bidi="ar"/>
        </w:rPr>
        <w:t>/</w:t>
      </w:r>
      <w:r>
        <w:rPr>
          <w:rFonts w:hint="eastAsia" w:ascii="仿宋_GB2312" w:hAnsi="宋体" w:eastAsia="仿宋_GB2312" w:cs="仿宋_GB2312"/>
          <w:color w:val="000000"/>
          <w:kern w:val="0"/>
          <w:sz w:val="28"/>
          <w:szCs w:val="28"/>
          <w:highlight w:val="none"/>
          <w:lang w:val="en-US" w:eastAsia="zh-CN" w:bidi="ar"/>
        </w:rPr>
        <w:t>次</w:t>
      </w:r>
      <w:r>
        <w:rPr>
          <w:rFonts w:ascii="Times New Roman" w:hAnsi="Times New Roman" w:eastAsia="仿宋_GB2312"/>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（3）在竞赛时段，参赛选手有不服从裁判扰乱赛场秩序、有作弊行为的、裁判宣布竞赛时间到仍强行操作的，取消参赛队奖项评比资格。</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（4）选手报告单上留有不应有的标识、符号、文字，扣5分。</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（二）裁判组成</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赛项裁判组负责赛项成绩评定工作。评分标准以“公平、公正、公开”为原则，采用过程评分和结果评分两种方式。成立由检录组、裁判组、监督仲裁组组成的成绩管理组织机构。参照《全国职业院校技能大赛专家和裁判工作管理办法》的有关要求，要求裁判人员的类别来自汽车维修企业，非参赛院校、非赛项合作企业，具有5年以上从事汽车维修岗位或汽车技术类专业教学经历。见表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表5 裁判员人数和组成条件要求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975"/>
        <w:gridCol w:w="2916"/>
        <w:gridCol w:w="2448"/>
        <w:gridCol w:w="1560"/>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序号</w:t>
            </w:r>
          </w:p>
        </w:tc>
        <w:tc>
          <w:tcPr>
            <w:tcW w:w="975"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专业技术方向</w:t>
            </w:r>
          </w:p>
        </w:tc>
        <w:tc>
          <w:tcPr>
            <w:tcW w:w="2916"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知识能力要求</w:t>
            </w:r>
          </w:p>
        </w:tc>
        <w:tc>
          <w:tcPr>
            <w:tcW w:w="2448"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执裁/教学工作经历</w:t>
            </w:r>
          </w:p>
        </w:tc>
        <w:tc>
          <w:tcPr>
            <w:tcW w:w="1560"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专业技术职称（职业资格等级）</w:t>
            </w:r>
          </w:p>
        </w:tc>
        <w:tc>
          <w:tcPr>
            <w:tcW w:w="732"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人数/工位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w:t>
            </w:r>
          </w:p>
        </w:tc>
        <w:tc>
          <w:tcPr>
            <w:tcW w:w="975"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汽车动力及底盘电控系统故障检修</w:t>
            </w:r>
          </w:p>
        </w:tc>
        <w:tc>
          <w:tcPr>
            <w:tcW w:w="291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能够熟练掌握纯电动或混合动力汽车“三电”系统及底盘电控系统的结构和控制逻辑；能高压电防护；会万用表、故障检测仪、示波器等常用诊断设备使用</w:t>
            </w:r>
          </w:p>
        </w:tc>
        <w:tc>
          <w:tcPr>
            <w:tcW w:w="2448"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在省级及以上汽车技术竞赛中具有执裁经验或指导学生获二等奖以上指导教师，同类赛项省级或国家级优秀指导老师优先</w:t>
            </w:r>
          </w:p>
        </w:tc>
        <w:tc>
          <w:tcPr>
            <w:tcW w:w="1560"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讲师及以上职称，或高级技师（高级工程师）</w:t>
            </w:r>
          </w:p>
        </w:tc>
        <w:tc>
          <w:tcPr>
            <w:tcW w:w="732"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c>
          <w:tcPr>
            <w:tcW w:w="975"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发动机及车身电控系统检修</w:t>
            </w:r>
          </w:p>
        </w:tc>
        <w:tc>
          <w:tcPr>
            <w:tcW w:w="2916"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能够熟练掌握燃油车或混合动力汽车发动机控制系统和车身电控系统的结构和控制逻辑，能高压电防护；会万用表、故障检测仪、示波器等常用检测设备使用</w:t>
            </w:r>
          </w:p>
        </w:tc>
        <w:tc>
          <w:tcPr>
            <w:tcW w:w="2448"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在省级及以上汽车技术竞赛中具有执裁经验或指导学生获二等奖以上指导教师，同类赛项省级或国家级优秀指导老师优先</w:t>
            </w:r>
          </w:p>
        </w:tc>
        <w:tc>
          <w:tcPr>
            <w:tcW w:w="1560"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讲师及以上职称，或高级技师（高级工程师）</w:t>
            </w:r>
          </w:p>
        </w:tc>
        <w:tc>
          <w:tcPr>
            <w:tcW w:w="732"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79" w:type="dxa"/>
            <w:gridSpan w:val="2"/>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裁判总人数</w:t>
            </w:r>
          </w:p>
        </w:tc>
        <w:tc>
          <w:tcPr>
            <w:tcW w:w="7656" w:type="dxa"/>
            <w:gridSpan w:val="4"/>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共</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31</w:t>
            </w:r>
            <w:r>
              <w:rPr>
                <w:rFonts w:ascii="Times New Roman" w:hAnsi="Times New Roman" w:eastAsia="仿宋_GB2312"/>
                <w:bCs/>
                <w:color w:val="000000" w:themeColor="text1"/>
                <w:szCs w:val="21"/>
                <w:highlight w:val="none"/>
                <w14:textFill>
                  <w14:solidFill>
                    <w14:schemeClr w14:val="tx1"/>
                  </w14:solidFill>
                </w14:textFill>
              </w:rPr>
              <w:t>人：裁判长1人，加密和解密裁判2人，现场裁判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24</w:t>
            </w:r>
            <w:r>
              <w:rPr>
                <w:rFonts w:ascii="Times New Roman" w:hAnsi="Times New Roman" w:eastAsia="仿宋_GB2312"/>
                <w:bCs/>
                <w:color w:val="000000" w:themeColor="text1"/>
                <w:szCs w:val="21"/>
                <w:highlight w:val="none"/>
                <w14:textFill>
                  <w14:solidFill>
                    <w14:schemeClr w14:val="tx1"/>
                  </w14:solidFill>
                </w14:textFill>
              </w:rPr>
              <w:t>人（根据具体工位数调整，每工位2个现场裁判），评分裁判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4</w:t>
            </w:r>
            <w:r>
              <w:rPr>
                <w:rFonts w:ascii="Times New Roman" w:hAnsi="Times New Roman" w:eastAsia="仿宋_GB2312"/>
                <w:bCs/>
                <w:color w:val="000000" w:themeColor="text1"/>
                <w:szCs w:val="21"/>
                <w:highlight w:val="none"/>
                <w14:textFill>
                  <w14:solidFill>
                    <w14:schemeClr w14:val="tx1"/>
                  </w14:solidFill>
                </w14:textFill>
              </w:rPr>
              <w:t>人</w:t>
            </w:r>
            <w:r>
              <w:rPr>
                <w:rFonts w:hint="eastAsia" w:ascii="Times New Roman" w:hAnsi="Times New Roman" w:eastAsia="仿宋_GB2312"/>
                <w:bCs/>
                <w:color w:val="000000" w:themeColor="text1"/>
                <w:szCs w:val="21"/>
                <w:highlight w:val="none"/>
                <w:lang w:eastAsia="zh-CN"/>
                <w14:textFill>
                  <w14:solidFill>
                    <w14:schemeClr w14:val="tx1"/>
                  </w14:solidFill>
                </w14:textFill>
              </w:rPr>
              <w:t>（</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含</w:t>
            </w:r>
            <w:r>
              <w:rPr>
                <w:rFonts w:ascii="Times New Roman" w:hAnsi="Times New Roman" w:eastAsia="仿宋_GB2312"/>
                <w:bCs/>
                <w:color w:val="000000" w:themeColor="text1"/>
                <w:szCs w:val="21"/>
                <w:highlight w:val="none"/>
                <w14:textFill>
                  <w14:solidFill>
                    <w14:schemeClr w14:val="tx1"/>
                  </w14:solidFill>
                </w14:textFill>
              </w:rPr>
              <w:t>统分和核分裁判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w:t>
            </w:r>
          </w:p>
        </w:tc>
      </w:tr>
    </w:tbl>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具体要求与分工如下：</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（1）检录工作人员负责对参赛选手进行点名登记、身份核对等工作。检录工作由赛项承办院校工作人员承担。</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裁判组实行“裁判长负责制”，全面负责赛项的裁判管理工作并处理比赛中出现的争议问题。负责组织比赛，对竞赛模块的试题与评分标准对接专家组长向裁判组培训解释。裁判报到后实行封闭管理。每天比赛前1小时通过抽签方式，初步确定裁判执裁工位，裁判不能执裁同省参赛队。</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（3）裁判员根据比赛需要分为加密裁判、现场裁判、评分裁判。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①</w:t>
      </w:r>
      <w:r>
        <w:rPr>
          <w:rFonts w:ascii="Times New Roman" w:hAnsi="Times New Roman" w:eastAsia="仿宋_GB2312"/>
          <w:color w:val="000000" w:themeColor="text1"/>
          <w:sz w:val="24"/>
          <w:szCs w:val="24"/>
          <w:highlight w:val="none"/>
          <w14:textFill>
            <w14:solidFill>
              <w14:schemeClr w14:val="tx1"/>
            </w14:solidFill>
          </w14:textFill>
        </w:rPr>
        <w:t>加密裁判：负责组织参赛选手抽签，对参赛队信息、抽签号等进行加密；各赛项加密裁判由赛区执委会根据赛项要求确定。同一赛项的加密裁判来自不同单位，且不得参与评分、统分和核分工作。</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②</w:t>
      </w:r>
      <w:r>
        <w:rPr>
          <w:rFonts w:ascii="Times New Roman" w:hAnsi="Times New Roman" w:eastAsia="仿宋_GB2312"/>
          <w:color w:val="000000" w:themeColor="text1"/>
          <w:sz w:val="24"/>
          <w:szCs w:val="24"/>
          <w:highlight w:val="none"/>
          <w14:textFill>
            <w14:solidFill>
              <w14:schemeClr w14:val="tx1"/>
            </w14:solidFill>
          </w14:textFill>
        </w:rPr>
        <w:t>现场裁判：按规定做好赛场记录，维护赛场纪律，评判参赛选手的现场作业。</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③</w:t>
      </w:r>
      <w:r>
        <w:rPr>
          <w:rFonts w:ascii="Times New Roman" w:hAnsi="Times New Roman" w:eastAsia="仿宋_GB2312"/>
          <w:color w:val="000000" w:themeColor="text1"/>
          <w:sz w:val="24"/>
          <w:szCs w:val="24"/>
          <w:highlight w:val="none"/>
          <w14:textFill>
            <w14:solidFill>
              <w14:schemeClr w14:val="tx1"/>
            </w14:solidFill>
          </w14:textFill>
        </w:rPr>
        <w:t>评分裁判：负责对参赛选手的报告单按赛项评分标准进行评定，并负责核分和统分工作。</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④</w:t>
      </w:r>
      <w:r>
        <w:rPr>
          <w:rFonts w:ascii="Times New Roman" w:hAnsi="Times New Roman" w:eastAsia="仿宋_GB2312"/>
          <w:color w:val="000000" w:themeColor="text1"/>
          <w:sz w:val="24"/>
          <w:szCs w:val="24"/>
          <w:highlight w:val="none"/>
          <w14:textFill>
            <w14:solidFill>
              <w14:schemeClr w14:val="tx1"/>
            </w14:solidFill>
          </w14:textFill>
        </w:rPr>
        <w:t>监督仲裁组对裁判组的工作进行全程监督，并对竞赛成绩抽检复核；接受由参赛队领队提出的对裁判结果的申诉，组织复议并及时反馈复议结果。</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（三）成绩评分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1.过程评判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现场裁判依据现场评判表，对参赛选手竞赛过程的人物安全、设备使用、操作规范、职业素养进行评判。评判结果由现场执裁裁判员签字确认。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2.结果评分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评分裁判根据现场评判表、参赛选手提交的报告单，依据评分标准进行评分、统分和核分。评分结果由评分裁判员、统分和核分裁判员签字确认。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3.解密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在监督仲裁组监督下，由裁判长指定解密裁判启封检录抽签一次加密档案、二次加密档案，找出各参赛队与场次工位对应关系；将竞赛结果分别由场次工位号转换为参赛队，然后进行分值排序，打印封装。</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4.总成绩排序</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总成绩为两个竞赛模块成绩之和。竞赛成绩相同时，以完成全部竞赛模块所用总时间少的名次在前；竞赛总成绩和完成全部竞赛模块所用总时间均相同时，按模块 A 赛项成绩进行排序的名次在前；竞赛成绩再相同时， 按模块 A 任务一赛项成绩进行排序。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5.抽检复核</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为保障成绩统计的准确性，监督仲裁组对赛项总成绩排名前30%的所有参赛队的成绩进行复核；对其余成绩进行抽检复核，抽检覆盖率不得低于15%。监督仲裁组将复检中发现的错误通过书面方式及时告知裁判长，由裁判长更正成绩并签字确认。错误率超过5%的，则认定为非小概率事件，裁判组需对所有成绩进行复核。</w:t>
      </w:r>
    </w:p>
    <w:p>
      <w:pPr>
        <w:spacing w:line="360" w:lineRule="auto"/>
        <w:ind w:left="562"/>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6.成绩管理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按照职业院校技能大赛制度汇编中成绩管理办法明确要求，严禁参赛选手、赛项裁判（含裁判长）、专家组成员、工作人员私自携带通讯、摄录设备进入比赛场地。赛场可根据需要配置安检设备，对进入赛场重要部位的人员进行安检，可在赛场相关区域安置无线信息屏蔽设备。赛项裁判应在检录前与参赛选手隔离。参赛选手的成绩评定与管理按照严密的程序进行。成绩管理流程见图2。</w:t>
      </w:r>
    </w:p>
    <w:p>
      <w:pPr>
        <w:pStyle w:val="9"/>
        <w:spacing w:after="0"/>
        <w:ind w:left="0" w:leftChars="0" w:firstLine="0" w:firstLineChars="0"/>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0" distR="0">
            <wp:extent cx="4316095" cy="4243070"/>
            <wp:effectExtent l="0" t="0" r="1206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16095" cy="4243070"/>
                    </a:xfrm>
                    <a:prstGeom prst="rect">
                      <a:avLst/>
                    </a:prstGeom>
                    <a:noFill/>
                    <a:ln>
                      <a:noFill/>
                    </a:ln>
                    <a:effectLst/>
                  </pic:spPr>
                </pic:pic>
              </a:graphicData>
            </a:graphic>
          </wp:inline>
        </w:drawing>
      </w:r>
    </w:p>
    <w:p>
      <w:pPr>
        <w:pStyle w:val="9"/>
        <w:spacing w:after="0"/>
        <w:ind w:left="0" w:leftChars="0" w:firstLine="0" w:firstLineChars="0"/>
        <w:rPr>
          <w:rFonts w:ascii="Times New Roman" w:hAnsi="Times New Roman"/>
          <w:color w:val="000000" w:themeColor="text1"/>
          <w:highlight w:val="none"/>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图2 成绩管理流程</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（四）成绩公布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1.公示。所有竞赛结束后记分员将解密后的各参赛队成绩汇总成最终成绩单，经裁判长、监督仲裁组组长签字后进行公示。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ascii="黑体" w:hAnsi="宋体" w:eastAsia="黑体" w:cs="黑体"/>
          <w:color w:val="000000"/>
          <w:kern w:val="0"/>
          <w:sz w:val="24"/>
          <w:szCs w:val="24"/>
          <w:highlight w:val="none"/>
          <w:lang w:val="en-US" w:eastAsia="zh-CN" w:bidi="ar"/>
        </w:rPr>
      </w:pPr>
      <w:r>
        <w:rPr>
          <w:rFonts w:ascii="Times New Roman" w:hAnsi="Times New Roman" w:eastAsia="仿宋_GB2312"/>
          <w:color w:val="000000" w:themeColor="text1"/>
          <w:sz w:val="24"/>
          <w:szCs w:val="24"/>
          <w:highlight w:val="none"/>
          <w14:textFill>
            <w14:solidFill>
              <w14:schemeClr w14:val="tx1"/>
            </w14:solidFill>
          </w14:textFill>
        </w:rPr>
        <w:t>2.报送。由赛务信息员将签字的纸质打印成绩单报送赛项执委会和大赛执委会办公室。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二</w:t>
      </w:r>
      <w:r>
        <w:rPr>
          <w:rFonts w:ascii="黑体" w:hAnsi="宋体" w:eastAsia="黑体" w:cs="黑体"/>
          <w:color w:val="000000"/>
          <w:kern w:val="0"/>
          <w:sz w:val="24"/>
          <w:szCs w:val="24"/>
          <w:highlight w:val="none"/>
          <w:lang w:val="en-US" w:eastAsia="zh-CN" w:bidi="ar"/>
        </w:rPr>
        <w:t>、赛</w:t>
      </w:r>
      <w:r>
        <w:rPr>
          <w:rFonts w:hint="eastAsia" w:ascii="黑体" w:hAnsi="宋体" w:eastAsia="黑体" w:cs="黑体"/>
          <w:color w:val="000000"/>
          <w:kern w:val="0"/>
          <w:sz w:val="24"/>
          <w:szCs w:val="24"/>
          <w:highlight w:val="none"/>
          <w:lang w:val="en-US" w:eastAsia="zh-CN" w:bidi="ar"/>
        </w:rPr>
        <w:t>场</w:t>
      </w:r>
      <w:r>
        <w:rPr>
          <w:rFonts w:ascii="黑体" w:hAnsi="宋体" w:eastAsia="黑体" w:cs="黑体"/>
          <w:color w:val="000000"/>
          <w:kern w:val="0"/>
          <w:sz w:val="24"/>
          <w:szCs w:val="24"/>
          <w:highlight w:val="none"/>
          <w:lang w:val="en-US" w:eastAsia="zh-CN" w:bidi="ar"/>
        </w:rPr>
        <w:t>预案</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赛场配备技术人员，当车辆、设备等出现问题时，技术人员可第一时间提供专业技术支持。赛场备用应急发电、空气压缩机设备、消防车等设施，保证水、电、气、耗材用品等的连续供应，并做好应对突发事件的准备。</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2.竞赛现场配置安全通道，当出现火情或其他灾害情况，工作人员应立即向保卫组汇报，保卫组接报后要火速到达现场并配合消防队员和公安干警，指挥人员疏散到安全区域并及时处置现场状况。</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3.竞赛过程中出现设备断电、故障等意外时，现场裁判需及时确认情况，安排技术支持人员进行处理，现场裁判登记详细情况，填写补时登记表，报裁判长批准后，可安排延长补足相应选手的比赛时间。</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4.赛场布置2个备用工位，与其他竞赛工位间隔至少1个工位的宽度布置。</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5.当出现非选手原因设备断电、故障等意外时，经现场裁判认可，裁判长确认予以安排备用工位进行比赛。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6.赛场设有应急医疗点，用于参赛选手突发身体不适（如发热、咳嗽等）</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7.出现碰伤、划伤等意外情况的应急处理；如应急医疗点检测参赛选手可以继续比赛，经裁判长确认予以安排原工位或备用工位进行比赛。如参赛选手不能继续参加比赛，必要时可联系120急救车。</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8.比赛期间发生意外事故，应第一时间报告赛项执委会，同时采取措施避免事态扩大。赛项出现重大安全问题可以停赛，是否停赛由赛区执委会决定。事后赛区执委会应向大赛执委会报告详细情况。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三</w:t>
      </w:r>
      <w:r>
        <w:rPr>
          <w:rFonts w:ascii="黑体" w:hAnsi="宋体" w:eastAsia="黑体" w:cs="黑体"/>
          <w:color w:val="000000"/>
          <w:kern w:val="0"/>
          <w:sz w:val="24"/>
          <w:szCs w:val="24"/>
          <w:highlight w:val="none"/>
          <w:lang w:val="en-US" w:eastAsia="zh-CN" w:bidi="ar"/>
        </w:rPr>
        <w:t>、申诉与仲裁</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大赛采取二级仲裁机制。设高职组“汽车</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故障检修</w:t>
      </w:r>
      <w:r>
        <w:rPr>
          <w:rFonts w:hint="eastAsia" w:ascii="Times New Roman" w:hAnsi="Times New Roman" w:eastAsia="仿宋_GB2312"/>
          <w:color w:val="000000" w:themeColor="text1"/>
          <w:sz w:val="24"/>
          <w:szCs w:val="24"/>
          <w:highlight w:val="none"/>
          <w14:textFill>
            <w14:solidFill>
              <w14:schemeClr w14:val="tx1"/>
            </w14:solidFill>
          </w14:textFill>
        </w:rPr>
        <w:t>”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同意的书面申诉报告。申诉报告应对申诉事件的现象、发生时间、涉及人员、申诉依据等进行充分、实事求是的叙述。非书面申诉不予受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提出申诉的时间应在竞赛结束后（选手赛场竞赛内容全部完成）2小时内。超过时效不予受理。赛项仲裁工作组在接到申诉报告后的2小时内组织复议，并及时将复议结果以书面形式告知申诉方。申诉方对复议结果仍有异议，可由参赛院校领队向仲裁委员会提出申诉。仲裁委员会的仲裁结果为最终结果。申诉方可随时提出放弃申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四</w:t>
      </w:r>
      <w:r>
        <w:rPr>
          <w:rFonts w:ascii="黑体" w:hAnsi="宋体" w:eastAsia="黑体" w:cs="黑体"/>
          <w:color w:val="000000"/>
          <w:kern w:val="0"/>
          <w:sz w:val="24"/>
          <w:szCs w:val="24"/>
          <w:highlight w:val="none"/>
          <w:lang w:val="en-US" w:eastAsia="zh-CN" w:bidi="ar"/>
        </w:rPr>
        <w:t>、竞赛观摩</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竞赛采取“适度集中、有限开放”的办赛模式，通过赛场实时监控画面，可实现远程观摩比赛，进一步扩大大赛的引领示范作用，提升大赛影响力。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五</w:t>
      </w:r>
      <w:r>
        <w:rPr>
          <w:rFonts w:ascii="黑体" w:hAnsi="宋体" w:eastAsia="黑体" w:cs="黑体"/>
          <w:color w:val="000000"/>
          <w:kern w:val="0"/>
          <w:sz w:val="24"/>
          <w:szCs w:val="24"/>
          <w:highlight w:val="none"/>
          <w:lang w:val="en-US" w:eastAsia="zh-CN" w:bidi="ar"/>
        </w:rPr>
        <w:t>、竞赛直播</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赛项全程录像，同步直播。赛场内部署无盲点录像设备，实时录制并播送赛场情况；赛场外通过大屏幕或投影，实时展示赛场内竞赛状况。各参赛代表队均可通过多媒体设备和网络设备，同步观看比赛场面。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六</w:t>
      </w:r>
      <w:r>
        <w:rPr>
          <w:rFonts w:ascii="黑体" w:hAnsi="宋体" w:eastAsia="黑体" w:cs="黑体"/>
          <w:color w:val="000000"/>
          <w:kern w:val="0"/>
          <w:sz w:val="24"/>
          <w:szCs w:val="24"/>
          <w:highlight w:val="none"/>
          <w:lang w:val="en-US" w:eastAsia="zh-CN" w:bidi="ar"/>
        </w:rPr>
        <w:t>、竞赛须知</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（一）参赛队须知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bookmarkStart w:id="2" w:name="（二）指导教师须知"/>
      <w:bookmarkEnd w:id="2"/>
      <w:r>
        <w:rPr>
          <w:rFonts w:hint="eastAsia" w:ascii="Times New Roman" w:hAnsi="Times New Roman" w:eastAsia="仿宋_GB2312"/>
          <w:color w:val="000000" w:themeColor="text1"/>
          <w:sz w:val="24"/>
          <w:szCs w:val="24"/>
          <w:highlight w:val="none"/>
          <w14:textFill>
            <w14:solidFill>
              <w14:schemeClr w14:val="tx1"/>
            </w14:solidFill>
          </w14:textFill>
        </w:rPr>
        <w:t>1.参赛教师须购买大赛期间的人身意外伤害保险。</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2.领队负责做好本参赛教师比赛期间的管理与组织工作。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3.对申诉的仲裁结果，参赛教师服从和执行。凡恶意申诉，一经查实，组委会将追查相关人员责任。</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4.执行大赛各项规定。比赛前和比赛期间不允许私自接触裁判，不得以任何形式影响裁判人员的评判。</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5.指定一名领队准时参加赛前领队会议，进行抽签确定竞赛当日抽签顺序，并认真传达落实会议精神。</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6.参赛校须给参赛教师进行安全培训，掌握竞赛车辆及设备安全操作规范的要求</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bookmarkStart w:id="3" w:name="（三）参赛选手须知"/>
      <w:bookmarkEnd w:id="3"/>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二</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）参赛</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教师</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应严格遵守竞赛规则和竞赛纪律，服从裁判员和竞赛工作人员的统一指挥安排，自觉维护赛场秩序，不得因申诉或对处理意见不服而停止竞赛，否则以弃权处理。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须文明竞赛，接受裁判的监督和警示。</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必须持本人身份证、并佩戴组委会签发的参赛证件；在赛前60分钟到达赛场进行检录、抽取赛位号，进行赛前准备，等候比赛开始指令。正式竞赛开始尚未检录的选手，不得参加竞赛。已检录入场的</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未经允许，不得擅自离开。</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进入赛场不得携带任何纸质资料、通讯工具、电子书、存储设备、照相及录像设备等。</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在收到开赛信号前不得启动操作；若结束比赛，应向裁判举手示意，由裁判记录比赛结束时间；比赛结束后，不得再进行任何与比赛有关的操作。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6.在比赛中如遇非人为因素造成的器材故障，应及时向裁判反映，经裁判确认后，可向裁判长申请补足排除故障的时间。</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7.比赛结束后，应按要求向裁判提交选手报告单。</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8.</w:t>
      </w:r>
      <w:r>
        <w:rPr>
          <w:rFonts w:hint="eastAsia" w:ascii="Times New Roman" w:hAnsi="Times New Roman" w:eastAsia="仿宋_GB2312"/>
          <w:color w:val="000000" w:themeColor="text1"/>
          <w:sz w:val="24"/>
          <w:szCs w:val="24"/>
          <w:highlight w:val="none"/>
          <w:lang w:eastAsia="zh-CN"/>
          <w14:textFill>
            <w14:solidFill>
              <w14:schemeClr w14:val="tx1"/>
            </w14:solidFill>
          </w14:textFill>
        </w:rPr>
        <w:t>参赛教师</w:t>
      </w:r>
      <w:r>
        <w:rPr>
          <w:rFonts w:hint="eastAsia" w:ascii="Times New Roman" w:hAnsi="Times New Roman" w:eastAsia="仿宋_GB2312"/>
          <w:color w:val="000000" w:themeColor="text1"/>
          <w:sz w:val="24"/>
          <w:szCs w:val="24"/>
          <w:highlight w:val="none"/>
          <w14:textFill>
            <w14:solidFill>
              <w14:schemeClr w14:val="tx1"/>
            </w14:solidFill>
          </w14:textFill>
        </w:rPr>
        <w:t>应注意安全，必须穿安全鞋（自备绝缘鞋）。着装须符合安全生产及竞赛要求。</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bookmarkStart w:id="4" w:name="（四）工作人员须知"/>
      <w:bookmarkEnd w:id="4"/>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（四）工作人员须知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1.工作人员必须服从统一领导，严格遵守竞赛纪律及时间安排，严守工作岗位，不得无故离岗。</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2.工作人员必须着装整齐，统一佩戴由大赛组委会签发的相应证件，精神饱满、热情服务。</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3.熟悉赛项指南，严格按照工作程序和有关规定办事，遇突发事件，按照安全工作预案，组织指挥人员疏散，确保人员安全。</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olor w:val="000000" w:themeColor="text1"/>
          <w:sz w:val="24"/>
          <w:szCs w:val="24"/>
          <w:highlight w:val="none"/>
          <w14:textFill>
            <w14:solidFill>
              <w14:schemeClr w14:val="tx1"/>
            </w14:solidFill>
          </w14:textFill>
        </w:rPr>
        <w:t>工作人员未经允许不得随意进入比赛现场。</w:t>
      </w:r>
    </w:p>
    <w:p>
      <w:pPr>
        <w:spacing w:after="240" w:afterLines="100"/>
        <w:rPr>
          <w:rFonts w:ascii="Times New Roman" w:hAnsi="Times New Roman" w:eastAsia="黑体"/>
          <w:color w:val="000000" w:themeColor="text1"/>
          <w:sz w:val="32"/>
          <w:szCs w:val="32"/>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br w:type="page"/>
      </w: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1312"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附件1</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lang w:val="fr-FR"/>
          <w14:textFill>
            <w14:solidFill>
              <w14:schemeClr w14:val="tx1"/>
            </w14:solidFill>
          </w14:textFill>
        </w:rPr>
      </w:pPr>
    </w:p>
    <w:p>
      <w:pPr>
        <w:adjustRightInd w:val="0"/>
        <w:snapToGrid w:val="0"/>
        <w:jc w:val="cente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1</w:t>
      </w:r>
    </w:p>
    <w:tbl>
      <w:tblPr>
        <w:tblStyle w:val="10"/>
        <w:tblpPr w:leftFromText="180" w:rightFromText="180" w:vertAnchor="text" w:horzAnchor="page" w:tblpXSpec="center" w:tblpY="506"/>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17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车辆信息登记</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※整车型号、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VIN码、冷却液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温度表、里程表 </w:t>
            </w:r>
          </w:p>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kern w:val="0"/>
                <w:sz w:val="18"/>
                <w:szCs w:val="18"/>
                <w:highlight w:val="none"/>
                <w:lang w:val="en-US" w:eastAsia="zh-CN" w:bidi="ar"/>
              </w:rPr>
              <w:t>读数等</w:t>
            </w: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统分裁判签字</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700"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55</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包括故障现象和故障代码</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通过分析</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得出故障</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可能原因</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结合现象及故障代码进行故障分析，并得出故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障可能原因</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维修资料</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绘制相关电路图或原理图</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过程数据</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记录</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完成记录测试过程，直到故障排除。每一步要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求记录测试对象、测试条件、实测结果及判断。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实车测量到最小范围：元件、线路及插头、模块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按要求完成指定信号波形测试，绘制所测波形， </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故障类型</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写出故障部位及故障性质后报告裁判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在电路图上指出相应电气线路（包括端子和正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确的导线）或零部件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根据裁判的指令修复故障</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故障机理</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分析</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分析故障部位及故障性质为什么会导致故障现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tc>
      </w:tr>
    </w:tbl>
    <w:p>
      <w:pPr>
        <w:tabs>
          <w:tab w:val="left" w:pos="9360"/>
        </w:tabs>
        <w:adjustRightInd w:val="0"/>
        <w:snapToGrid w:val="0"/>
        <w:spacing w:line="240" w:lineRule="auto"/>
        <w:rPr>
          <w:rFonts w:ascii="Times New Roman" w:hAnsi="Times New Roman"/>
          <w:b/>
          <w:bCs/>
          <w:color w:val="000000" w:themeColor="text1"/>
          <w:sz w:val="28"/>
          <w:szCs w:val="28"/>
          <w:highlight w:val="none"/>
          <w14:textFill>
            <w14:solidFill>
              <w14:schemeClr w14:val="tx1"/>
            </w14:solidFill>
          </w14:textFill>
        </w:rPr>
      </w:pPr>
    </w:p>
    <w:p>
      <w:pPr>
        <w:pStyle w:val="9"/>
        <w:ind w:left="0" w:leftChars="0" w:firstLine="0" w:firstLineChars="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val="en-US" w:eastAsia="zh-CN"/>
          <w14:textFill>
            <w14:solidFill>
              <w14:schemeClr w14:val="tx1"/>
            </w14:solidFill>
          </w14:textFill>
        </w:rPr>
        <w:t xml:space="preserve">说明：任务一、二采用本报告单，完成时间为55分钟。55分钟后进入任务三；若完成时间少于 55分钟，可进入任务三，但任务三时间限定仍为15 分钟。 </w:t>
      </w:r>
    </w:p>
    <w:p>
      <w:pPr>
        <w:tabs>
          <w:tab w:val="left" w:pos="9360"/>
        </w:tabs>
        <w:adjustRightInd w:val="0"/>
        <w:snapToGrid w:val="0"/>
        <w:spacing w:line="240" w:lineRule="atLeast"/>
        <w:rPr>
          <w:rFonts w:hint="eastAsia" w:ascii="Times New Roman" w:hAnsi="Times New Roman"/>
          <w:b/>
          <w:bCs/>
          <w:color w:val="000000" w:themeColor="text1"/>
          <w:sz w:val="28"/>
          <w:szCs w:val="28"/>
          <w:highlight w:val="none"/>
          <w:lang w:val="en-US"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4384" behindDoc="1" locked="0" layoutInCell="1" allowOverlap="1">
            <wp:simplePos x="0" y="0"/>
            <wp:positionH relativeFrom="page">
              <wp:posOffset>8485505</wp:posOffset>
            </wp:positionH>
            <wp:positionV relativeFrom="paragraph">
              <wp:posOffset>-490855</wp:posOffset>
            </wp:positionV>
            <wp:extent cx="1300480" cy="1300480"/>
            <wp:effectExtent l="0" t="0" r="10160"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2</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lang w:val="fr-FR"/>
          <w14:textFill>
            <w14:solidFill>
              <w14:schemeClr w14:val="tx1"/>
            </w14:solidFill>
          </w14:textFill>
        </w:rPr>
      </w:pPr>
    </w:p>
    <w:p>
      <w:pPr>
        <w:adjustRightInd w:val="0"/>
        <w:snapToGrid w:val="0"/>
        <w:jc w:val="cente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2</w:t>
      </w:r>
    </w:p>
    <w:tbl>
      <w:tblPr>
        <w:tblStyle w:val="10"/>
        <w:tblpPr w:leftFromText="180" w:rightFromText="180" w:vertAnchor="text" w:horzAnchor="page" w:tblpXSpec="center" w:tblpY="50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参赛号</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38" w:type="dxa"/>
            <w:vMerge w:val="continue"/>
            <w:tcBorders>
              <w:left w:val="single" w:color="000000" w:sz="8" w:space="0"/>
              <w:right w:val="single" w:color="000000" w:sz="8"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1700" w:type="dxa"/>
            <w:vMerge w:val="continue"/>
            <w:tcBorders>
              <w:left w:val="single" w:color="000000" w:sz="8" w:space="0"/>
              <w:right w:val="single" w:color="000000" w:sz="8" w:space="0"/>
            </w:tcBorders>
            <w:shd w:val="clear" w:color="auto" w:fill="FFFFFF"/>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738" w:type="dxa"/>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统分裁判签字</w:t>
            </w:r>
          </w:p>
        </w:tc>
        <w:tc>
          <w:tcPr>
            <w:tcW w:w="1700" w:type="dxa"/>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15</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※给定某一故障现象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故障点设置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维修资料查阅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故障树</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restart"/>
            <w:tcBorders>
              <w:top w:val="single" w:color="000000" w:sz="8" w:space="0"/>
              <w:left w:val="single" w:color="000000" w:sz="8" w:space="0"/>
              <w:right w:val="single" w:color="auto" w:sz="4"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故障检修步骤（一）</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p>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故障范围</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eastAsia"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检测对象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检测条件</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检测数据</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标准数据</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38" w:type="dxa"/>
            <w:vMerge w:val="continue"/>
            <w:tcBorders>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结论</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tc>
      </w:tr>
    </w:tbl>
    <w:p>
      <w:pPr>
        <w:tabs>
          <w:tab w:val="left" w:pos="9360"/>
        </w:tabs>
        <w:adjustRightInd w:val="0"/>
        <w:snapToGrid w:val="0"/>
        <w:spacing w:line="240" w:lineRule="auto"/>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uto"/>
        <w:rPr>
          <w:rFonts w:ascii="Times New Roman" w:hAnsi="Times New Roman"/>
          <w:b/>
          <w:bCs/>
          <w:color w:val="000000" w:themeColor="text1"/>
          <w:sz w:val="28"/>
          <w:szCs w:val="28"/>
          <w:highlight w:val="none"/>
          <w14:textFill>
            <w14:solidFill>
              <w14:schemeClr w14:val="tx1"/>
            </w14:solidFill>
          </w14:textFill>
        </w:rPr>
      </w:pPr>
    </w:p>
    <w:p>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说明：任务三采用本报告单。根据给定故障现象，设计对应的故障点（不能与本模块已经排除的故障点重复），画出诊断该故障的相关电路原理图，以故障树形式给出诊断思路，并按检修步骤列出设置该故障后进行检修的关键检修过程性数据，要求关键步骤不少于 3 步（如保险的上下游测量、保险元件测量为 1 步），步骤之间关联性符合控制逻辑。 </w:t>
      </w:r>
    </w:p>
    <w:p>
      <w:pPr>
        <w:pStyle w:val="9"/>
        <w:ind w:left="0" w:leftChars="0" w:firstLine="0" w:firstLineChars="0"/>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5408" behindDoc="1" locked="0" layoutInCell="1" allowOverlap="1">
            <wp:simplePos x="0" y="0"/>
            <wp:positionH relativeFrom="page">
              <wp:posOffset>8485505</wp:posOffset>
            </wp:positionH>
            <wp:positionV relativeFrom="paragraph">
              <wp:posOffset>-490855</wp:posOffset>
            </wp:positionV>
            <wp:extent cx="1300480" cy="1300480"/>
            <wp:effectExtent l="0" t="0" r="10160" b="1016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3</w:t>
      </w: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59264"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rPr>
          <w:rFonts w:ascii="Times New Roman" w:hAnsi="Times New Roman"/>
          <w:color w:val="000000" w:themeColor="text1"/>
          <w:highlight w:val="none"/>
          <w14:textFill>
            <w14:solidFill>
              <w14:schemeClr w14:val="tx1"/>
            </w14:solidFill>
          </w14:textFill>
        </w:rPr>
      </w:pPr>
    </w:p>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《模块A汽车动力及底盘电控系统故障检修》现场评分表</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30"/>
        <w:gridCol w:w="1086"/>
        <w:gridCol w:w="277"/>
        <w:gridCol w:w="1147"/>
        <w:gridCol w:w="2063"/>
        <w:gridCol w:w="1851"/>
        <w:gridCol w:w="654"/>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8" w:type="pct"/>
            <w:gridSpan w:val="2"/>
            <w:vMerge w:val="restar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734" w:type="pct"/>
            <w:gridSpan w:val="2"/>
            <w:vMerge w:val="restar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111"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96"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裁判长抽审</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98" w:type="pct"/>
            <w:gridSpan w:val="2"/>
            <w:vMerge w:val="continue"/>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734" w:type="pct"/>
            <w:gridSpan w:val="2"/>
            <w:vMerge w:val="continue"/>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111"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96"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监督仲裁签字</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98" w:type="pct"/>
            <w:gridSpan w:val="2"/>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统分裁判签字</w:t>
            </w:r>
          </w:p>
        </w:tc>
        <w:tc>
          <w:tcPr>
            <w:tcW w:w="734" w:type="pct"/>
            <w:gridSpan w:val="2"/>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比赛时间</w:t>
            </w:r>
          </w:p>
        </w:tc>
        <w:tc>
          <w:tcPr>
            <w:tcW w:w="1111"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55</w:t>
            </w:r>
            <w:r>
              <w:rPr>
                <w:rFonts w:ascii="Times New Roman" w:hAnsi="Times New Roman" w:eastAsia="仿宋_GB2312"/>
                <w:color w:val="000000" w:themeColor="text1"/>
                <w:sz w:val="18"/>
                <w:szCs w:val="18"/>
                <w:highlight w:val="none"/>
                <w14:textFill>
                  <w14:solidFill>
                    <w14:schemeClr w14:val="tx1"/>
                  </w14:solidFill>
                </w14:textFill>
              </w:rPr>
              <w:t>分钟</w:t>
            </w:r>
          </w:p>
        </w:tc>
        <w:tc>
          <w:tcPr>
            <w:tcW w:w="996"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43"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序号</w:t>
            </w:r>
          </w:p>
        </w:tc>
        <w:tc>
          <w:tcPr>
            <w:tcW w:w="554"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1352" w:type="pct"/>
            <w:gridSpan w:val="3"/>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评分点</w:t>
            </w:r>
          </w:p>
        </w:tc>
        <w:tc>
          <w:tcPr>
            <w:tcW w:w="2107" w:type="pct"/>
            <w:gridSpan w:val="2"/>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说 明</w:t>
            </w:r>
          </w:p>
        </w:tc>
        <w:tc>
          <w:tcPr>
            <w:tcW w:w="352"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配分</w:t>
            </w:r>
          </w:p>
        </w:tc>
        <w:tc>
          <w:tcPr>
            <w:tcW w:w="289"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343"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0</w:t>
            </w:r>
          </w:p>
        </w:tc>
        <w:tc>
          <w:tcPr>
            <w:tcW w:w="554"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工作组织与安全</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r>
              <w:rPr>
                <w:rFonts w:ascii="Times New Roman" w:hAnsi="Times New Roman" w:eastAsia="仿宋_GB2312"/>
                <w:color w:val="000000" w:themeColor="text1"/>
                <w:sz w:val="18"/>
                <w:szCs w:val="18"/>
                <w:highlight w:val="none"/>
                <w14:textFill>
                  <w14:solidFill>
                    <w14:schemeClr w14:val="tx1"/>
                  </w14:solidFill>
                </w14:textFill>
              </w:rPr>
              <w:t>0分）</w:t>
            </w: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作业准备</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□未检查设置隔离栏</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□未设置安全警示牌</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□未检查灭火器压力值（水基、干粉）</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□未安装车辆挡块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□未安装车外三件套或安装位置不正确的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□操作中翼子板布、格栅布自行脱落的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□车内四件套（方向盘、座椅、脚垫、换挡杆）少铺或未铺或撕裂的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□未完全落下驾驶员侧车窗的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人物安全</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□初次起动未请示裁判而直接起动发动机</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□非测试需求，每次起动发动机的时间超过10秒钟，或者连续起动发动机超过3次</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□选手佩戴尖锐饰物，未穿安全鞋</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□在检查拆装蓄电池、或运转的发动机附近操作时需佩戴护目镜</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设备使用</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□未正确进行万用表校零检查，主要包括万用表表笔的连接、档位的选择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□未正确连接仪器、仪表和测试设备到车辆的，主要包括万用表和示波器检测探针的连接（特别是禁止黑色表笔连接到电源正极）</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□未正确操作车辆到测试条件而直接进行测试的，主要包括对车辆的操作是否能正确服务于测试目的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操作规范</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□断开各模块插头时，未断开蓄电池连接</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□完成所有任务后，按规定力矩紧固蓄电池极桩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□未正确进行机油和冷却液液位检查而直接起动发动机的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□测试完成后未恢复车辆的，主要包括拆卸下的部件未正确安装的、点火等其它开关未正确复位的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安全操作</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□操作过程中，对测试设备和车辆可能构成损坏而被裁判制止的，每次扣4分，扣完为止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□未规范操作造成车辆保险丝烧掉，每次扣4分，扣完为止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否决项：选手损坏车辆或设备，报告裁判长，取消比赛资格</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5S规范</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□仪器、工具、零件跌落或摆放凌乱的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□每次测试完成后，测试设备未合理归位的，主要包括设备和工具随手放在车辆或地面等不合适的位置、设备使用完成后未关闭电源</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□未恢复工位到原标准工位布置状态的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3"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p>
        </w:tc>
        <w:tc>
          <w:tcPr>
            <w:tcW w:w="554"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汽车动力控制系统故障检修（</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35</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故障点1测量数据记录</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2</w:t>
            </w:r>
          </w:p>
        </w:tc>
        <w:tc>
          <w:tcPr>
            <w:tcW w:w="554"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底盘电控系统故障检修</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35</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故障点测量数据记录</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w:t>
            </w:r>
          </w:p>
        </w:tc>
        <w:tc>
          <w:tcPr>
            <w:tcW w:w="554" w:type="pct"/>
            <w:vMerge w:val="restart"/>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18"/>
                <w:szCs w:val="18"/>
                <w:highlight w:val="none"/>
                <w:lang w:val="en-US" w:eastAsia="zh-CN" w:bidi="ar"/>
              </w:rPr>
              <w:t>汽车动力控</w:t>
            </w:r>
            <w:r>
              <w:rPr>
                <w:rFonts w:hint="eastAsia" w:ascii="仿宋_GB2312" w:hAnsi="宋体" w:eastAsia="仿宋_GB2312" w:cs="仿宋_GB2312"/>
                <w:color w:val="000000"/>
                <w:kern w:val="0"/>
                <w:sz w:val="18"/>
                <w:szCs w:val="18"/>
                <w:highlight w:val="none"/>
                <w:lang w:val="en-US" w:eastAsia="zh-CN" w:bidi="ar"/>
              </w:rPr>
              <w:t xml:space="preserve">制系统故障设计与分析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18"/>
                <w:szCs w:val="18"/>
                <w:highlight w:val="none"/>
                <w:lang w:val="en-US" w:eastAsia="zh-CN" w:bidi="ar"/>
              </w:rPr>
              <w:t>（</w:t>
            </w:r>
            <w:r>
              <w:rPr>
                <w:rFonts w:hint="default" w:ascii="Times New Roman" w:hAnsi="Times New Roman" w:eastAsia="宋体" w:cs="Times New Roman"/>
                <w:color w:val="000000"/>
                <w:kern w:val="0"/>
                <w:sz w:val="18"/>
                <w:szCs w:val="18"/>
                <w:highlight w:val="none"/>
                <w:lang w:val="en-US" w:eastAsia="zh-CN" w:bidi="ar"/>
              </w:rPr>
              <w:t xml:space="preserve">20 </w:t>
            </w:r>
            <w:r>
              <w:rPr>
                <w:rFonts w:hint="eastAsia" w:ascii="仿宋_GB2312" w:hAnsi="宋体" w:eastAsia="仿宋_GB2312" w:cs="仿宋_GB2312"/>
                <w:color w:val="000000"/>
                <w:kern w:val="0"/>
                <w:sz w:val="18"/>
                <w:szCs w:val="18"/>
                <w:highlight w:val="none"/>
                <w:lang w:val="en-US" w:eastAsia="zh-CN" w:bidi="ar"/>
              </w:rPr>
              <w:t xml:space="preserve">分） </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 xml:space="preserve">故障现象 </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报告单上故障现象记录不正确</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故障点设置</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故障点设置不合理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维修资料</w:t>
            </w:r>
            <w:r>
              <w:rPr>
                <w:rFonts w:hint="eastAsia" w:ascii="仿宋_GB2312" w:hAnsi="宋体" w:eastAsia="仿宋_GB2312" w:cs="仿宋_GB2312"/>
                <w:color w:val="000000"/>
                <w:kern w:val="0"/>
                <w:sz w:val="18"/>
                <w:szCs w:val="18"/>
                <w:highlight w:val="none"/>
                <w:lang w:val="en-US" w:eastAsia="zh-CN" w:bidi="ar"/>
              </w:rPr>
              <w:t xml:space="preserve">查阅 </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未在报告单上正确绘出原理图</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2" w:type="pct"/>
            <w:gridSpan w:val="3"/>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故障树</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不合理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restart"/>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18"/>
                <w:szCs w:val="18"/>
                <w:highlight w:val="none"/>
                <w:lang w:val="en-US" w:eastAsia="zh-CN" w:bidi="ar"/>
              </w:rPr>
              <w:t xml:space="preserve">故障检修步骤 </w:t>
            </w:r>
            <w:r>
              <w:rPr>
                <w:rFonts w:hint="eastAsia" w:ascii="仿宋_GB2312" w:hAnsi="宋体" w:eastAsia="仿宋_GB2312" w:cs="仿宋_GB2312"/>
                <w:color w:val="000000"/>
                <w:kern w:val="0"/>
                <w:sz w:val="18"/>
                <w:szCs w:val="18"/>
                <w:highlight w:val="none"/>
                <w:lang w:val="en-US" w:eastAsia="zh-CN" w:bidi="ar"/>
              </w:rPr>
              <w:t xml:space="preserve">一 </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 xml:space="preserve">故障范围 </w:t>
            </w:r>
          </w:p>
        </w:tc>
        <w:tc>
          <w:tcPr>
            <w:tcW w:w="210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未在报告单上正确分析出可能的故障范围 </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检测对象 </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未在报告单上正确写出测量检测对象 </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检测条件</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未在报告单上正确写出测量检测条件 </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检测数据 </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未在报告单上正确写出测量数据 </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标准数据 </w:t>
            </w:r>
          </w:p>
        </w:tc>
        <w:tc>
          <w:tcPr>
            <w:tcW w:w="210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未在报告单上正确写出标准数据 </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3"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4"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8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67" w:type="pct"/>
            <w:gridSpan w:val="2"/>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结论 </w:t>
            </w:r>
          </w:p>
        </w:tc>
        <w:tc>
          <w:tcPr>
            <w:tcW w:w="2107" w:type="pct"/>
            <w:gridSpan w:val="2"/>
            <w:vAlign w:val="center"/>
          </w:tcPr>
          <w:p>
            <w:pPr>
              <w:keepNext w:val="0"/>
              <w:keepLines w:val="0"/>
              <w:widowControl/>
              <w:suppressLineNumbers w:val="0"/>
              <w:jc w:val="left"/>
              <w:rPr>
                <w:highlight w:val="none"/>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 xml:space="preserve">未在报告单上正确记录故障点 </w:t>
            </w:r>
          </w:p>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未在报告单上正确写出故障机理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4358" w:type="pct"/>
            <w:gridSpan w:val="7"/>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合  计</w:t>
            </w:r>
          </w:p>
        </w:tc>
        <w:tc>
          <w:tcPr>
            <w:tcW w:w="352" w:type="pc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100</w:t>
            </w:r>
          </w:p>
        </w:tc>
        <w:tc>
          <w:tcPr>
            <w:tcW w:w="289" w:type="pc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r>
    </w:tbl>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说明：评分细则根据赛题适当调整。</w:t>
      </w: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br w:type="page"/>
      </w:r>
    </w:p>
    <w:p>
      <w:pPr>
        <w:tabs>
          <w:tab w:val="left" w:pos="9360"/>
        </w:tabs>
        <w:adjustRightInd w:val="0"/>
        <w:snapToGrid w:val="0"/>
        <w:spacing w:line="240" w:lineRule="atLeast"/>
        <w:rPr>
          <w:rFonts w:hint="eastAsia" w:ascii="Times New Roman" w:hAnsi="Times New Roman" w:eastAsia="宋体"/>
          <w:b/>
          <w:bCs/>
          <w:color w:val="000000" w:themeColor="text1"/>
          <w:sz w:val="28"/>
          <w:szCs w:val="28"/>
          <w:highlight w:val="none"/>
          <w:lang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4</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61312"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《模块A汽车动力及底盘电控系统故障检修》样题</w:t>
      </w:r>
    </w:p>
    <w:p>
      <w:pPr>
        <w:jc w:val="center"/>
        <w:rPr>
          <w:rFonts w:ascii="Times New Roman" w:hAnsi="Times New Roman" w:eastAsia="仿宋"/>
          <w:color w:val="000000" w:themeColor="text1"/>
          <w:sz w:val="24"/>
          <w:highlight w:val="none"/>
          <w14:textFill>
            <w14:solidFill>
              <w14:schemeClr w14:val="tx1"/>
            </w14:solidFill>
          </w14:textFill>
        </w:rPr>
      </w:pPr>
    </w:p>
    <w:tbl>
      <w:tblPr>
        <w:tblStyle w:val="10"/>
        <w:tblpPr w:leftFromText="180" w:rightFromText="180" w:vertAnchor="text" w:horzAnchor="page" w:tblpXSpec="center" w:tblpY="275"/>
        <w:tblOverlap w:val="never"/>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5748"/>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序号</w:t>
            </w:r>
          </w:p>
        </w:tc>
        <w:tc>
          <w:tcPr>
            <w:tcW w:w="5748" w:type="dxa"/>
            <w:shd w:val="clear" w:color="auto" w:fill="D7D7D7"/>
            <w:vAlign w:val="center"/>
          </w:tcPr>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点</w:t>
            </w:r>
          </w:p>
        </w:tc>
        <w:tc>
          <w:tcPr>
            <w:tcW w:w="2682"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1</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CAN-H与CAN-L线路相互短接</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低压不上电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2</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制动开关信号线路对地短路</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低压不上电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3</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BMS的低压供电继电器线路故障</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高压不上电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4</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BMS接地点虚接</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高压不上电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5</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电机位置传感器正弦线路短路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车辆行驶异常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6</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EPS控制模块电源线路断路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车辆行驶异常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7</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充电枪内部的CC信号线路虚接</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交流充电故障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8</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车载充电机内部线路断路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交流充电故障</w:t>
            </w:r>
          </w:p>
        </w:tc>
      </w:tr>
    </w:tbl>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 xml:space="preserve">模块各任务故障点数量不是固定的，故障点总数不少于4个。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ascii="仿宋_GB2312" w:hAnsi="宋体" w:eastAsia="仿宋_GB2312" w:cs="仿宋_GB2312"/>
          <w:color w:val="000000"/>
          <w:kern w:val="0"/>
          <w:sz w:val="24"/>
          <w:szCs w:val="24"/>
          <w:highlight w:val="none"/>
          <w:lang w:val="en-US" w:eastAsia="zh-CN" w:bidi="ar"/>
        </w:rPr>
        <w:t xml:space="preserve">每个故障点分值依难度而定。 </w:t>
      </w:r>
    </w:p>
    <w:p>
      <w:pPr>
        <w:keepNext w:val="0"/>
        <w:keepLines w:val="0"/>
        <w:widowControl/>
        <w:suppressLineNumbers w:val="0"/>
        <w:jc w:val="left"/>
        <w:rPr>
          <w:rFonts w:hint="eastAsia" w:ascii="仿宋_GB2312" w:hAnsi="宋体" w:eastAsia="仿宋_GB2312" w:cs="仿宋_GB2312"/>
          <w:color w:val="000000"/>
          <w:kern w:val="0"/>
          <w:sz w:val="24"/>
          <w:szCs w:val="24"/>
          <w:highlight w:val="none"/>
          <w:lang w:val="en-US" w:eastAsia="zh-CN" w:bidi="ar"/>
        </w:rPr>
      </w:pP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w:t>
      </w:r>
      <w:r>
        <w:rPr>
          <w:rFonts w:hint="eastAsia" w:ascii="仿宋_GB2312" w:hAnsi="宋体" w:eastAsia="仿宋_GB2312" w:cs="仿宋_GB2312"/>
          <w:color w:val="000000"/>
          <w:kern w:val="0"/>
          <w:sz w:val="24"/>
          <w:szCs w:val="24"/>
          <w:highlight w:val="none"/>
          <w:lang w:val="en-US" w:eastAsia="zh-CN" w:bidi="ar"/>
        </w:rPr>
        <w:t>诊断低压不上电故障时，不得使用诊断仪。</w:t>
      </w:r>
    </w:p>
    <w:p>
      <w:pPr>
        <w:keepNext w:val="0"/>
        <w:keepLines w:val="0"/>
        <w:widowControl/>
        <w:suppressLineNumbers w:val="0"/>
        <w:jc w:val="left"/>
        <w:rPr>
          <w:highlight w:val="none"/>
        </w:rPr>
      </w:pP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w:t>
      </w:r>
      <w:r>
        <w:rPr>
          <w:rFonts w:hint="eastAsia" w:ascii="仿宋_GB2312" w:hAnsi="宋体" w:eastAsia="仿宋_GB2312" w:cs="仿宋_GB2312"/>
          <w:color w:val="000000"/>
          <w:kern w:val="0"/>
          <w:sz w:val="24"/>
          <w:szCs w:val="24"/>
          <w:highlight w:val="none"/>
          <w:lang w:val="en-US" w:eastAsia="zh-CN" w:bidi="ar"/>
        </w:rPr>
        <w:t>确定故障的作业中，没有特定的顺序要求。</w:t>
      </w:r>
    </w:p>
    <w:p>
      <w:pPr>
        <w:adjustRightInd w:val="0"/>
        <w:snapToGrid w:val="0"/>
        <w:jc w:val="center"/>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br w:type="page"/>
      </w:r>
    </w:p>
    <w:p>
      <w:pPr>
        <w:tabs>
          <w:tab w:val="left" w:pos="9360"/>
        </w:tabs>
        <w:adjustRightInd w:val="0"/>
        <w:snapToGrid w:val="0"/>
        <w:spacing w:line="240" w:lineRule="atLeast"/>
        <w:rPr>
          <w:rFonts w:hint="eastAsia" w:ascii="Times New Roman" w:hAnsi="Times New Roman" w:eastAsia="宋体"/>
          <w:b/>
          <w:bCs/>
          <w:color w:val="000000" w:themeColor="text1"/>
          <w:sz w:val="28"/>
          <w:szCs w:val="28"/>
          <w:highlight w:val="none"/>
          <w:lang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2336"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5</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tbl>
      <w:tblPr>
        <w:tblStyle w:val="10"/>
        <w:tblpPr w:leftFromText="180" w:rightFromText="180" w:vertAnchor="text" w:horzAnchor="page" w:tblpX="1552" w:tblpY="420"/>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17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车辆信息登记</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※整车型号、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VIN码、冷却液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温度表、里程表 </w:t>
            </w:r>
          </w:p>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kern w:val="0"/>
                <w:sz w:val="18"/>
                <w:szCs w:val="18"/>
                <w:highlight w:val="none"/>
                <w:lang w:val="en-US" w:eastAsia="zh-CN" w:bidi="ar"/>
              </w:rPr>
              <w:t>读数等</w:t>
            </w: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统分裁判签字</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700"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55</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包括故障现象和故障代码</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通过分析</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得出故障</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可能原因</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结合现象及故障代码进行故障分析，并得出故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障可能原因</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维修资料</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绘制相关电路图或原理图</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过程数据</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记录</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完成记录测试过程，直到故障排除。每一步要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求记录测试对象、测试条件、实测结果及判断。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实车测量到最小范围：元件、线路及插头、模块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按要求完成指定信号波形测试，绘制所测波形，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故障类型</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写出故障部位及故障性质后报告裁判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在电路图上指出相应电气线路（包括端子和正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确的导线）或零部件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根据裁判的指令修复故障</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故障机理</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分析</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分析故障部位及故障性质为什么会导致故障现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p>
      <w:pPr>
        <w:adjustRightInd w:val="0"/>
        <w:snapToGrid w:val="0"/>
        <w:jc w:val="cente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《模块B发动机及车身电控系统故障检修》</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1</w:t>
      </w:r>
    </w:p>
    <w:p>
      <w:pPr>
        <w:rPr>
          <w:rFonts w:ascii="Times New Roman" w:hAnsi="Times New Roman"/>
          <w:vanish/>
          <w:color w:val="000000" w:themeColor="text1"/>
          <w:highlight w:val="none"/>
          <w14:textFill>
            <w14:solidFill>
              <w14:schemeClr w14:val="tx1"/>
            </w14:solidFill>
          </w14:textFill>
        </w:rPr>
      </w:pPr>
    </w:p>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bl>
    <w:p>
      <w:pPr>
        <w:pStyle w:val="3"/>
        <w:numPr>
          <w:ilvl w:val="0"/>
          <w:numId w:val="0"/>
        </w:numPr>
        <w:rPr>
          <w:rFonts w:hint="eastAsia" w:ascii="仿宋_GB2312" w:hAnsi="仿宋_GB2312" w:eastAsia="仿宋_GB2312" w:cs="仿宋_GB2312"/>
          <w:color w:val="000000" w:themeColor="text1"/>
          <w:sz w:val="21"/>
          <w:szCs w:val="21"/>
          <w:highlight w:val="none"/>
          <w:lang w:val="fr-FR"/>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fr-FR" w:eastAsia="zh-CN"/>
          <w14:textFill>
            <w14:solidFill>
              <w14:schemeClr w14:val="tx1"/>
            </w14:solidFill>
          </w14:textFill>
        </w:rPr>
        <w:t>说明：任务四、五采用本报告单。完成时间为</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55</w:t>
      </w:r>
      <w:r>
        <w:rPr>
          <w:rFonts w:hint="eastAsia" w:ascii="仿宋_GB2312" w:hAnsi="仿宋_GB2312" w:eastAsia="仿宋_GB2312" w:cs="仿宋_GB2312"/>
          <w:color w:val="000000" w:themeColor="text1"/>
          <w:sz w:val="21"/>
          <w:szCs w:val="21"/>
          <w:highlight w:val="none"/>
          <w:lang w:val="fr-FR" w:eastAsia="zh-CN"/>
          <w14:textFill>
            <w14:solidFill>
              <w14:schemeClr w14:val="tx1"/>
            </w14:solidFill>
          </w14:textFill>
        </w:rPr>
        <w:t>分钟。</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55</w:t>
      </w:r>
      <w:r>
        <w:rPr>
          <w:rFonts w:hint="eastAsia" w:ascii="仿宋_GB2312" w:hAnsi="仿宋_GB2312" w:eastAsia="仿宋_GB2312" w:cs="仿宋_GB2312"/>
          <w:color w:val="000000" w:themeColor="text1"/>
          <w:sz w:val="21"/>
          <w:szCs w:val="21"/>
          <w:highlight w:val="none"/>
          <w:lang w:val="fr-FR" w:eastAsia="zh-CN"/>
          <w14:textFill>
            <w14:solidFill>
              <w14:schemeClr w14:val="tx1"/>
            </w14:solidFill>
          </w14:textFill>
        </w:rPr>
        <w:t xml:space="preserve">分钟后进入任务六。若完成时间少于 </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55</w:t>
      </w:r>
      <w:r>
        <w:rPr>
          <w:rFonts w:hint="eastAsia" w:ascii="仿宋_GB2312" w:hAnsi="仿宋_GB2312" w:eastAsia="仿宋_GB2312" w:cs="仿宋_GB2312"/>
          <w:color w:val="000000" w:themeColor="text1"/>
          <w:sz w:val="21"/>
          <w:szCs w:val="21"/>
          <w:highlight w:val="none"/>
          <w:lang w:val="fr-FR" w:eastAsia="zh-CN"/>
          <w14:textFill>
            <w14:solidFill>
              <w14:schemeClr w14:val="tx1"/>
            </w14:solidFill>
          </w14:textFill>
        </w:rPr>
        <w:t>分钟，可进入任务六，但任务六时间限定仍为</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21"/>
          <w:szCs w:val="21"/>
          <w:highlight w:val="none"/>
          <w:lang w:val="fr-FR" w:eastAsia="zh-CN"/>
          <w14:textFill>
            <w14:solidFill>
              <w14:schemeClr w14:val="tx1"/>
            </w14:solidFill>
          </w14:textFill>
        </w:rPr>
        <w:t xml:space="preserve">分钟。 </w:t>
      </w:r>
    </w:p>
    <w:p>
      <w:pPr>
        <w:pStyle w:val="3"/>
        <w:numPr>
          <w:ilvl w:val="0"/>
          <w:numId w:val="0"/>
        </w:numPr>
        <w:rPr>
          <w:rFonts w:hint="eastAsia" w:ascii="仿宋_GB2312" w:hAnsi="仿宋_GB2312" w:eastAsia="仿宋_GB2312" w:cs="仿宋_GB2312"/>
          <w:color w:val="000000" w:themeColor="text1"/>
          <w:sz w:val="21"/>
          <w:szCs w:val="21"/>
          <w:highlight w:val="none"/>
          <w:lang w:val="fr-FR"/>
          <w14:textFill>
            <w14:solidFill>
              <w14:schemeClr w14:val="tx1"/>
            </w14:solidFill>
          </w14:textFill>
        </w:rPr>
        <w:sectPr>
          <w:footerReference r:id="rId4" w:type="first"/>
          <w:footerReference r:id="rId3" w:type="default"/>
          <w:pgSz w:w="11906" w:h="16838"/>
          <w:pgMar w:top="2041" w:right="1417" w:bottom="1984" w:left="1417" w:header="567" w:footer="850" w:gutter="0"/>
          <w:pgNumType w:start="1"/>
          <w:cols w:space="0" w:num="1"/>
          <w:titlePg/>
          <w:rtlGutter w:val="0"/>
          <w:docGrid w:linePitch="360" w:charSpace="0"/>
        </w:sectPr>
      </w:pPr>
    </w:p>
    <w:p>
      <w:pPr>
        <w:tabs>
          <w:tab w:val="left" w:pos="9360"/>
        </w:tabs>
        <w:adjustRightInd w:val="0"/>
        <w:snapToGrid w:val="0"/>
        <w:spacing w:line="240" w:lineRule="atLeast"/>
        <w:rPr>
          <w:rFonts w:hint="default" w:ascii="Times New Roman" w:hAnsi="Times New Roman" w:eastAsia="宋体"/>
          <w:b/>
          <w:bCs/>
          <w:color w:val="000000" w:themeColor="text1"/>
          <w:sz w:val="28"/>
          <w:szCs w:val="28"/>
          <w:highlight w:val="none"/>
          <w:lang w:val="en-US"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6432" behindDoc="1" locked="0" layoutInCell="1" allowOverlap="1">
            <wp:simplePos x="0" y="0"/>
            <wp:positionH relativeFrom="page">
              <wp:posOffset>8485505</wp:posOffset>
            </wp:positionH>
            <wp:positionV relativeFrom="paragraph">
              <wp:posOffset>-490855</wp:posOffset>
            </wp:positionV>
            <wp:extent cx="1300480" cy="1300480"/>
            <wp:effectExtent l="0" t="0" r="10160" b="1016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6</w:t>
      </w: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lang w:val="fr-FR"/>
          <w14:textFill>
            <w14:solidFill>
              <w14:schemeClr w14:val="tx1"/>
            </w14:solidFill>
          </w14:textFill>
        </w:rPr>
      </w:pPr>
    </w:p>
    <w:p>
      <w:pPr>
        <w:adjustRightInd w:val="0"/>
        <w:snapToGrid w:val="0"/>
        <w:jc w:val="cente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w:t>
      </w:r>
      <w:r>
        <w:rPr>
          <w:rFonts w:ascii="Times New Roman" w:hAnsi="Times New Roman" w:eastAsia="仿宋_GB2312"/>
          <w:b/>
          <w:bCs/>
          <w:color w:val="000000" w:themeColor="text1"/>
          <w:sz w:val="28"/>
          <w:szCs w:val="28"/>
          <w:highlight w:val="none"/>
          <w:lang w:val="fr-FR"/>
          <w14:textFill>
            <w14:solidFill>
              <w14:schemeClr w14:val="tx1"/>
            </w14:solidFill>
          </w14:textFill>
        </w:rPr>
        <w:t>模块B–发动机及车身电控系统故障检修</w:t>
      </w:r>
      <w:r>
        <w:rPr>
          <w:rFonts w:ascii="Times New Roman" w:hAnsi="Times New Roman" w:eastAsia="仿宋_GB2312"/>
          <w:b/>
          <w:bCs/>
          <w:color w:val="000000" w:themeColor="text1"/>
          <w:sz w:val="28"/>
          <w:szCs w:val="28"/>
          <w:highlight w:val="none"/>
          <w14:textFill>
            <w14:solidFill>
              <w14:schemeClr w14:val="tx1"/>
            </w14:solidFill>
          </w14:textFill>
        </w:rPr>
        <w:t>》</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2</w:t>
      </w:r>
    </w:p>
    <w:tbl>
      <w:tblPr>
        <w:tblStyle w:val="10"/>
        <w:tblpPr w:leftFromText="180" w:rightFromText="180" w:vertAnchor="text" w:horzAnchor="page" w:tblpXSpec="center" w:tblpY="50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参赛号</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38" w:type="dxa"/>
            <w:vMerge w:val="continue"/>
            <w:tcBorders>
              <w:left w:val="single" w:color="000000" w:sz="8" w:space="0"/>
              <w:right w:val="single" w:color="000000" w:sz="8"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1700" w:type="dxa"/>
            <w:vMerge w:val="continue"/>
            <w:tcBorders>
              <w:left w:val="single" w:color="000000" w:sz="8" w:space="0"/>
              <w:right w:val="single" w:color="000000" w:sz="8" w:space="0"/>
            </w:tcBorders>
            <w:shd w:val="clear" w:color="auto" w:fill="FFFFFF"/>
            <w:vAlign w:val="center"/>
          </w:tcPr>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738" w:type="dxa"/>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统分裁判签字</w:t>
            </w:r>
          </w:p>
        </w:tc>
        <w:tc>
          <w:tcPr>
            <w:tcW w:w="1700" w:type="dxa"/>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15</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※给定某一故障现象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故障点设置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维修资料查阅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故障树</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restart"/>
            <w:tcBorders>
              <w:top w:val="single" w:color="000000" w:sz="8" w:space="0"/>
              <w:left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故障检修步骤一</w:t>
            </w:r>
          </w:p>
          <w:p>
            <w:pPr>
              <w:adjustRightInd w:val="0"/>
              <w:snapToGrid w:val="0"/>
              <w:jc w:val="cente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（可续页）</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p>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故障范围</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eastAsia"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检测对象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检测条件</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检测数据</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38" w:type="dxa"/>
            <w:vMerge w:val="continue"/>
            <w:tcBorders>
              <w:left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标准数据</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38" w:type="dxa"/>
            <w:vMerge w:val="continue"/>
            <w:tcBorders>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结论</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tc>
      </w:tr>
    </w:tbl>
    <w:p>
      <w:pPr>
        <w:tabs>
          <w:tab w:val="left" w:pos="9360"/>
        </w:tabs>
        <w:adjustRightInd w:val="0"/>
        <w:snapToGrid w:val="0"/>
        <w:spacing w:line="240" w:lineRule="auto"/>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uto"/>
        <w:rPr>
          <w:rFonts w:ascii="Times New Roman" w:hAnsi="Times New Roman"/>
          <w:b/>
          <w:bCs/>
          <w:color w:val="000000" w:themeColor="text1"/>
          <w:sz w:val="28"/>
          <w:szCs w:val="28"/>
          <w:highlight w:val="none"/>
          <w14:textFill>
            <w14:solidFill>
              <w14:schemeClr w14:val="tx1"/>
            </w14:solidFill>
          </w14:textFill>
        </w:rPr>
      </w:pPr>
    </w:p>
    <w:p>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说明：任务三采用本报告单。根据给定故障现象，设计对应的故障点（不能与本模块已经排除的故障点重复），画出诊断该故障的相关电路原理图，以故障树形式给出诊断思路，并按检修步骤列出设置该故障后进行检修的关键检修过程性数据，要求关键步骤不少于 3 步（如保险的上下游测量、保险元件测量为 1 步），步骤之间关联性符合控制逻辑。 </w:t>
      </w:r>
    </w:p>
    <w:p>
      <w:pPr>
        <w:rPr>
          <w:rFonts w:hint="eastAsia" w:ascii="Times New Roman" w:hAnsi="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b/>
          <w:bCs/>
          <w:color w:val="000000" w:themeColor="text1"/>
          <w:sz w:val="28"/>
          <w:szCs w:val="28"/>
          <w:highlight w:val="none"/>
          <w:lang w:val="en-US" w:eastAsia="zh-CN"/>
          <w14:textFill>
            <w14:solidFill>
              <w14:schemeClr w14:val="tx1"/>
            </w14:solidFill>
          </w14:textFill>
        </w:rPr>
        <w:br w:type="page"/>
      </w:r>
    </w:p>
    <w:p>
      <w:pPr>
        <w:tabs>
          <w:tab w:val="left" w:pos="9360"/>
        </w:tabs>
        <w:adjustRightInd w:val="0"/>
        <w:snapToGrid w:val="0"/>
        <w:spacing w:line="240" w:lineRule="atLeast"/>
        <w:rPr>
          <w:rFonts w:hint="default" w:ascii="Times New Roman" w:hAnsi="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b/>
          <w:bCs/>
          <w:color w:val="000000" w:themeColor="text1"/>
          <w:sz w:val="28"/>
          <w:szCs w:val="28"/>
          <w:highlight w:val="none"/>
          <w:lang w:val="en-US" w:eastAsia="zh-CN"/>
          <w14:textFill>
            <w14:solidFill>
              <w14:schemeClr w14:val="tx1"/>
            </w14:solidFill>
          </w14:textFill>
        </w:rPr>
        <w:t>附件7</w:t>
      </w:r>
    </w:p>
    <w:p>
      <w:pPr>
        <w:pStyle w:val="5"/>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60288"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32"/>
          <w:szCs w:val="32"/>
          <w:highlight w:val="none"/>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32"/>
          <w:szCs w:val="32"/>
          <w:highlight w:val="none"/>
          <w14:textFill>
            <w14:solidFill>
              <w14:schemeClr w14:val="tx1"/>
            </w14:solidFill>
          </w14:textFill>
        </w:rPr>
      </w:pPr>
      <w:r>
        <w:rPr>
          <w:rFonts w:ascii="Times New Roman" w:hAnsi="Times New Roman" w:eastAsia="仿宋_GB2312"/>
          <w:b/>
          <w:bCs/>
          <w:color w:val="000000" w:themeColor="text1"/>
          <w:sz w:val="32"/>
          <w:szCs w:val="32"/>
          <w:highlight w:val="none"/>
          <w14:textFill>
            <w14:solidFill>
              <w14:schemeClr w14:val="tx1"/>
            </w14:solidFill>
          </w14:textFill>
        </w:rPr>
        <w:t>《模块B–发动机及车身电控系统故障检修》现场评分表</w:t>
      </w:r>
    </w:p>
    <w:p>
      <w:pPr>
        <w:rPr>
          <w:rFonts w:ascii="Times New Roman" w:hAnsi="Times New Roman"/>
          <w:color w:val="000000" w:themeColor="text1"/>
          <w:highlight w:val="none"/>
          <w14:textFill>
            <w14:solidFill>
              <w14:schemeClr w14:val="tx1"/>
            </w14:solidFill>
          </w14:textFill>
        </w:rPr>
      </w:pPr>
    </w:p>
    <w:tbl>
      <w:tblPr>
        <w:tblStyle w:val="10"/>
        <w:tblW w:w="10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235"/>
        <w:gridCol w:w="278"/>
        <w:gridCol w:w="1358"/>
        <w:gridCol w:w="2186"/>
        <w:gridCol w:w="2022"/>
        <w:gridCol w:w="717"/>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8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选手参赛号</w:t>
            </w:r>
          </w:p>
        </w:tc>
        <w:tc>
          <w:tcPr>
            <w:tcW w:w="1513"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35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裁判签字：</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裁判长抽审</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44" w:type="dxa"/>
            <w:gridSpan w:val="2"/>
            <w:vMerge w:val="restart"/>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统分裁判签字</w:t>
            </w:r>
          </w:p>
        </w:tc>
        <w:tc>
          <w:tcPr>
            <w:tcW w:w="1513" w:type="dxa"/>
            <w:gridSpan w:val="2"/>
            <w:vMerge w:val="restart"/>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35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裁判签字：</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监督仲裁签字</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44" w:type="dxa"/>
            <w:gridSpan w:val="2"/>
            <w:vMerge w:val="continue"/>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1513" w:type="dxa"/>
            <w:gridSpan w:val="2"/>
            <w:vMerge w:val="continue"/>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1358"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比赛时间</w:t>
            </w:r>
          </w:p>
        </w:tc>
        <w:tc>
          <w:tcPr>
            <w:tcW w:w="2186"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55</w:t>
            </w:r>
            <w:r>
              <w:rPr>
                <w:rFonts w:ascii="Times New Roman" w:hAnsi="Times New Roman" w:eastAsia="仿宋_GB2312"/>
                <w:color w:val="000000" w:themeColor="text1"/>
                <w:sz w:val="24"/>
                <w:szCs w:val="24"/>
                <w:highlight w:val="none"/>
                <w14:textFill>
                  <w14:solidFill>
                    <w14:schemeClr w14:val="tx1"/>
                  </w14:solidFill>
                </w14:textFill>
              </w:rPr>
              <w:t>分钟</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实际用时</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10"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序号</w:t>
            </w:r>
          </w:p>
        </w:tc>
        <w:tc>
          <w:tcPr>
            <w:tcW w:w="1134"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项目</w:t>
            </w:r>
          </w:p>
        </w:tc>
        <w:tc>
          <w:tcPr>
            <w:tcW w:w="2871" w:type="dxa"/>
            <w:gridSpan w:val="3"/>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评分点</w:t>
            </w:r>
          </w:p>
        </w:tc>
        <w:tc>
          <w:tcPr>
            <w:tcW w:w="4208" w:type="dxa"/>
            <w:gridSpan w:val="2"/>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说 明</w:t>
            </w:r>
          </w:p>
        </w:tc>
        <w:tc>
          <w:tcPr>
            <w:tcW w:w="717"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配分</w:t>
            </w:r>
          </w:p>
        </w:tc>
        <w:tc>
          <w:tcPr>
            <w:tcW w:w="715" w:type="dxa"/>
            <w:shd w:val="clear" w:color="auto" w:fill="F1F1F1"/>
            <w:vAlign w:val="center"/>
          </w:tcPr>
          <w:p>
            <w:pPr>
              <w:widowControl/>
              <w:jc w:val="center"/>
              <w:rPr>
                <w:rFonts w:ascii="Times New Roman" w:hAnsi="Times New Roman" w:eastAsia="仿宋"/>
                <w:b/>
                <w:bCs/>
                <w:color w:val="000000" w:themeColor="text1"/>
                <w:kern w:val="0"/>
                <w:sz w:val="24"/>
                <w:szCs w:val="24"/>
                <w:highlight w:val="none"/>
                <w14:textFill>
                  <w14:solidFill>
                    <w14:schemeClr w14:val="tx1"/>
                  </w14:solidFill>
                </w14:textFill>
              </w:rPr>
            </w:pPr>
            <w:r>
              <w:rPr>
                <w:rFonts w:ascii="Times New Roman" w:hAnsi="Times New Roman" w:eastAsia="仿宋"/>
                <w:b/>
                <w:bCs/>
                <w:color w:val="000000" w:themeColor="text1"/>
                <w:kern w:val="0"/>
                <w:sz w:val="24"/>
                <w:szCs w:val="24"/>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0</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健康与</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r>
              <w:rPr>
                <w:rFonts w:ascii="Times New Roman" w:hAnsi="Times New Roman" w:eastAsia="仿宋_GB2312"/>
                <w:color w:val="000000" w:themeColor="text1"/>
                <w:sz w:val="18"/>
                <w:szCs w:val="18"/>
                <w:highlight w:val="none"/>
                <w14:textFill>
                  <w14:solidFill>
                    <w14:schemeClr w14:val="tx1"/>
                  </w14:solidFill>
                </w14:textFill>
              </w:rPr>
              <w:t>0分）</w:t>
            </w: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作业准备</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□未检查设置隔离栏</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□未设置安全警示牌</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□未检查灭火器压力值（水基、干粉）</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□未安装车辆挡块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□未安装车外三件套或安装位置不正确的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□操作中翼子板布、格栅布自行脱落的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□车内四件套（方向盘、座椅、脚垫、换挡杆）少铺或未铺或撕裂的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□未完全落下驾驶员侧车窗的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人物安全</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□未检查绝缘手套，测量高压部分线路未佩戴绝缘手套，裁判制止并重新佩戴</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□未检查防电池电解液酸碱性手套外观损伤，触碰电池包部分未佩戴防电池电解液酸碱性手套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□未检查护目镜外观损伤，测量高压部分线路未佩戴护目镜</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□未检查安全帽外观损伤，车辆底部作业未佩戴安全帽</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□未检查确认电子手刹和档位的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□上高压电时向裁判报告</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设备使用</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□未选择正确的绝缘测试仪（本项如果错误，绝缘测试均不得分）</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□初次使用未正确进行万用表检查（本项如果错误，高压端测试均不得分）</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□未正确连接仪器、仪表和测试设备到车辆的，主要包括万用表和示波器检测探针的连接（特别是禁止黑色表笔连接到电源正极）</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□未正确操作车辆到测试条件而直接进行测试的，主要包括对车辆的操作是否能正确服务于测试目的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操作规范</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□断开各模块插头时，未先关闭点火开关，再断开蓄电池负极，并对蓄电池负极进行防护；断开高压插头没有验电。</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□完成所有任务后，按规定力矩紧固蓄电池极桩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□测试完成后未恢复车辆的，主要包括拆卸下的部件未正确安装的、点火等其它开关未正确复位的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安全操作</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□操作过程中，对测试设备和车辆可能构成损坏而被裁判制止的，每次扣4分，扣完为止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□未规范操作造成车辆保险丝烧掉，每次扣4分，扣完为止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否决项：选手损坏车辆或设备，报告裁判长，取消比赛资格</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5S规范</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□仪器、工具、零件跌落或摆放凌乱的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□每次测试完成后，测试设备未合理归位的，主要包括设备和工具随手放在车辆或地面等不合适的位置、设备使用完成后未关闭电源</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□未恢复工位到原标准工位布置状态的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发动机控制系统故障检修（</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35</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故障点1测量数据记录</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2</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车身电控系统故障检修（</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35</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故障点测量数据记录</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w:t>
            </w:r>
          </w:p>
        </w:tc>
        <w:tc>
          <w:tcPr>
            <w:tcW w:w="1134" w:type="dxa"/>
            <w:vMerge w:val="restart"/>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18"/>
                <w:szCs w:val="18"/>
                <w:highlight w:val="none"/>
                <w:lang w:val="en-US" w:eastAsia="zh-CN" w:bidi="ar"/>
              </w:rPr>
              <w:t>发动机电</w:t>
            </w:r>
            <w:r>
              <w:rPr>
                <w:rFonts w:hint="eastAsia" w:ascii="仿宋_GB2312" w:hAnsi="宋体" w:eastAsia="仿宋_GB2312" w:cs="仿宋_GB2312"/>
                <w:color w:val="000000"/>
                <w:kern w:val="0"/>
                <w:sz w:val="18"/>
                <w:szCs w:val="18"/>
                <w:highlight w:val="none"/>
                <w:lang w:val="en-US" w:eastAsia="zh-CN" w:bidi="ar"/>
              </w:rPr>
              <w:t xml:space="preserve">控系统故障设计与分析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18"/>
                <w:szCs w:val="18"/>
                <w:highlight w:val="none"/>
                <w:lang w:val="en-US" w:eastAsia="zh-CN" w:bidi="ar"/>
              </w:rPr>
              <w:t>（</w:t>
            </w:r>
            <w:r>
              <w:rPr>
                <w:rFonts w:hint="default" w:ascii="Times New Roman" w:hAnsi="Times New Roman" w:eastAsia="宋体" w:cs="Times New Roman"/>
                <w:color w:val="000000"/>
                <w:kern w:val="0"/>
                <w:sz w:val="18"/>
                <w:szCs w:val="18"/>
                <w:highlight w:val="none"/>
                <w:lang w:val="en-US" w:eastAsia="zh-CN" w:bidi="ar"/>
              </w:rPr>
              <w:t xml:space="preserve">20 </w:t>
            </w:r>
            <w:r>
              <w:rPr>
                <w:rFonts w:hint="eastAsia" w:ascii="仿宋_GB2312" w:hAnsi="宋体" w:eastAsia="仿宋_GB2312" w:cs="仿宋_GB2312"/>
                <w:color w:val="000000"/>
                <w:kern w:val="0"/>
                <w:sz w:val="18"/>
                <w:szCs w:val="18"/>
                <w:highlight w:val="none"/>
                <w:lang w:val="en-US" w:eastAsia="zh-CN" w:bidi="ar"/>
              </w:rPr>
              <w:t>分</w:t>
            </w:r>
            <w:r>
              <w:rPr>
                <w:rFonts w:hint="default" w:ascii="Times New Roman" w:hAnsi="Times New Roman" w:eastAsia="宋体" w:cs="Times New Roman"/>
                <w:color w:val="000000"/>
                <w:kern w:val="0"/>
                <w:sz w:val="18"/>
                <w:szCs w:val="18"/>
                <w:highlight w:val="none"/>
                <w:lang w:val="en-US" w:eastAsia="zh-CN" w:bidi="ar"/>
              </w:rPr>
              <w:t>)</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 xml:space="preserve">故障现象 </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报告单上故障现象记录不正确</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故障点设置</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故障点设置不合理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维修资料</w:t>
            </w:r>
            <w:r>
              <w:rPr>
                <w:rFonts w:hint="eastAsia" w:ascii="仿宋_GB2312" w:hAnsi="宋体" w:eastAsia="仿宋_GB2312" w:cs="仿宋_GB2312"/>
                <w:color w:val="000000"/>
                <w:kern w:val="0"/>
                <w:sz w:val="18"/>
                <w:szCs w:val="18"/>
                <w:highlight w:val="none"/>
                <w:lang w:val="en-US" w:eastAsia="zh-CN" w:bidi="ar"/>
              </w:rPr>
              <w:t xml:space="preserve">查阅 </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未在报告单上正确绘出原理图</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3"/>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故障树</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不合理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restart"/>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18"/>
                <w:szCs w:val="18"/>
                <w:highlight w:val="none"/>
                <w:lang w:val="en-US" w:eastAsia="zh-CN" w:bidi="ar"/>
              </w:rPr>
              <w:t xml:space="preserve">故障检修步骤 </w:t>
            </w:r>
            <w:r>
              <w:rPr>
                <w:rFonts w:hint="eastAsia" w:ascii="仿宋_GB2312" w:hAnsi="宋体" w:eastAsia="仿宋_GB2312" w:cs="仿宋_GB2312"/>
                <w:color w:val="000000"/>
                <w:kern w:val="0"/>
                <w:sz w:val="18"/>
                <w:szCs w:val="18"/>
                <w:highlight w:val="none"/>
                <w:lang w:val="en-US" w:eastAsia="zh-CN" w:bidi="ar"/>
              </w:rPr>
              <w:t xml:space="preserve">一 </w:t>
            </w:r>
          </w:p>
          <w:p>
            <w:pPr>
              <w:adjustRightInd w:val="0"/>
              <w:snapToGrid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p>
        </w:tc>
        <w:tc>
          <w:tcPr>
            <w:tcW w:w="1636"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ascii="仿宋_GB2312" w:hAnsi="宋体" w:eastAsia="仿宋_GB2312" w:cs="仿宋_GB2312"/>
                <w:color w:val="000000"/>
                <w:kern w:val="0"/>
                <w:sz w:val="18"/>
                <w:szCs w:val="18"/>
                <w:highlight w:val="none"/>
                <w:lang w:val="en-US" w:eastAsia="zh-CN" w:bidi="ar"/>
              </w:rPr>
              <w:t xml:space="preserve">故障范围 </w:t>
            </w:r>
          </w:p>
        </w:tc>
        <w:tc>
          <w:tcPr>
            <w:tcW w:w="4208" w:type="dxa"/>
            <w:gridSpan w:val="2"/>
            <w:vAlign w:val="center"/>
          </w:tcPr>
          <w:p>
            <w:pPr>
              <w:adjustRightInd w:val="0"/>
              <w:snapToGrid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未在报告单上正确分析出可能的故障范围 </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636"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检测对象 </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未在报告单上正确写出测量检测对象 </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636" w:type="dxa"/>
            <w:gridSpan w:val="2"/>
            <w:vAlign w:val="center"/>
          </w:tcPr>
          <w:p>
            <w:pPr>
              <w:adjustRightInd w:val="0"/>
              <w:snapToGrid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检测条件</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未在报告单上正确写出测量检测条件 </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636"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检测数据 </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未在报告单上正确写出测量数据 </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636"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标准数据 </w:t>
            </w:r>
          </w:p>
        </w:tc>
        <w:tc>
          <w:tcPr>
            <w:tcW w:w="4208"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 xml:space="preserve">未在报告单上正确写出标准数据 </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235"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636" w:type="dxa"/>
            <w:gridSpan w:val="2"/>
            <w:vAlign w:val="center"/>
          </w:tcPr>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eastAsia" w:ascii="仿宋_GB2312" w:hAnsi="宋体" w:eastAsia="仿宋_GB2312" w:cs="仿宋_GB2312"/>
                <w:color w:val="000000"/>
                <w:kern w:val="0"/>
                <w:sz w:val="18"/>
                <w:szCs w:val="18"/>
                <w:highlight w:val="none"/>
                <w:lang w:val="en-US" w:eastAsia="zh-CN" w:bidi="ar"/>
              </w:rPr>
              <w:t xml:space="preserve">结论 </w:t>
            </w:r>
          </w:p>
        </w:tc>
        <w:tc>
          <w:tcPr>
            <w:tcW w:w="4208" w:type="dxa"/>
            <w:gridSpan w:val="2"/>
            <w:vAlign w:val="center"/>
          </w:tcPr>
          <w:p>
            <w:pPr>
              <w:keepNext w:val="0"/>
              <w:keepLines w:val="0"/>
              <w:widowControl/>
              <w:suppressLineNumbers w:val="0"/>
              <w:jc w:val="left"/>
              <w:rPr>
                <w:highlight w:val="none"/>
              </w:rPr>
            </w:pPr>
            <w:r>
              <w:rPr>
                <w:rFonts w:hint="default" w:ascii="Times New Roman" w:hAnsi="Times New Roman" w:eastAsia="宋体" w:cs="Times New Roman"/>
                <w:color w:val="000000"/>
                <w:kern w:val="0"/>
                <w:sz w:val="18"/>
                <w:szCs w:val="18"/>
                <w:highlight w:val="none"/>
                <w:lang w:val="en-US" w:eastAsia="zh-CN" w:bidi="ar"/>
              </w:rPr>
              <w:t>□</w:t>
            </w:r>
            <w:r>
              <w:rPr>
                <w:rFonts w:ascii="仿宋_GB2312" w:hAnsi="宋体" w:eastAsia="仿宋_GB2312" w:cs="仿宋_GB2312"/>
                <w:color w:val="000000"/>
                <w:kern w:val="0"/>
                <w:sz w:val="18"/>
                <w:szCs w:val="18"/>
                <w:highlight w:val="none"/>
                <w:lang w:val="en-US" w:eastAsia="zh-CN" w:bidi="ar"/>
              </w:rPr>
              <w:t xml:space="preserve">未在报告单上正确记录故障点 </w:t>
            </w:r>
          </w:p>
          <w:p>
            <w:pPr>
              <w:keepNext w:val="0"/>
              <w:keepLines w:val="0"/>
              <w:widowControl/>
              <w:suppressLineNumbers w:val="0"/>
              <w:jc w:val="left"/>
              <w:rPr>
                <w:rFonts w:ascii="Times New Roman" w:hAnsi="Times New Roman" w:eastAsia="仿宋_GB2312"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kern w:val="0"/>
                <w:sz w:val="18"/>
                <w:szCs w:val="18"/>
                <w:highlight w:val="none"/>
                <w:lang w:val="en-US" w:eastAsia="zh-CN" w:bidi="ar"/>
              </w:rPr>
              <w:t>□</w:t>
            </w:r>
            <w:r>
              <w:rPr>
                <w:rFonts w:hint="eastAsia" w:ascii="仿宋_GB2312" w:hAnsi="宋体" w:eastAsia="仿宋_GB2312" w:cs="仿宋_GB2312"/>
                <w:color w:val="000000"/>
                <w:kern w:val="0"/>
                <w:sz w:val="18"/>
                <w:szCs w:val="18"/>
                <w:highlight w:val="none"/>
                <w:lang w:val="en-US" w:eastAsia="zh-CN" w:bidi="ar"/>
              </w:rPr>
              <w:t>未在报告单上正确写出故障机理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923" w:type="dxa"/>
            <w:gridSpan w:val="7"/>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合  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100</w:t>
            </w:r>
          </w:p>
        </w:tc>
        <w:tc>
          <w:tcPr>
            <w:tcW w:w="715" w:type="dxa"/>
            <w:vAlign w:val="center"/>
          </w:tcPr>
          <w:p>
            <w:pPr>
              <w:jc w:val="center"/>
              <w:rPr>
                <w:rFonts w:ascii="Times New Roman" w:hAnsi="Times New Roman" w:eastAsia="仿宋"/>
                <w:b/>
                <w:color w:val="000000" w:themeColor="text1"/>
                <w:szCs w:val="21"/>
                <w:highlight w:val="none"/>
                <w14:textFill>
                  <w14:solidFill>
                    <w14:schemeClr w14:val="tx1"/>
                  </w14:solidFill>
                </w14:textFill>
              </w:rPr>
            </w:pPr>
          </w:p>
        </w:tc>
      </w:tr>
    </w:tbl>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说明：评分细则根据赛题适当调整</w:t>
      </w: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hint="eastAsia" w:ascii="Times New Roman" w:hAnsi="Times New Roman" w:eastAsia="宋体"/>
          <w:b/>
          <w:bCs/>
          <w:color w:val="000000" w:themeColor="text1"/>
          <w:sz w:val="28"/>
          <w:szCs w:val="28"/>
          <w:highlight w:val="none"/>
          <w:lang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8</w:t>
      </w:r>
    </w:p>
    <w:p>
      <w:pPr>
        <w:pStyle w:val="5"/>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《模块B发动机及车身电控系统故障检修》样题举例</w:t>
      </w:r>
    </w:p>
    <w:tbl>
      <w:tblPr>
        <w:tblStyle w:val="10"/>
        <w:tblpPr w:leftFromText="180" w:rightFromText="180" w:vertAnchor="text" w:horzAnchor="page" w:tblpXSpec="center" w:tblpY="275"/>
        <w:tblOverlap w:val="never"/>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5209"/>
        <w:gridCol w:w="3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序号</w:t>
            </w:r>
          </w:p>
        </w:tc>
        <w:tc>
          <w:tcPr>
            <w:tcW w:w="5209" w:type="dxa"/>
            <w:shd w:val="clear" w:color="auto" w:fill="D7D7D7"/>
            <w:vAlign w:val="center"/>
          </w:tcPr>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点</w:t>
            </w:r>
          </w:p>
        </w:tc>
        <w:tc>
          <w:tcPr>
            <w:tcW w:w="3221"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1</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无钥匙进入控制单元正极电源线路断路 </w:t>
            </w:r>
          </w:p>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起动机不转，发动</w:t>
            </w:r>
            <w:r>
              <w:rPr>
                <w:rFonts w:hint="eastAsia" w:ascii="仿宋_GB2312" w:hAnsi="宋体" w:eastAsia="仿宋_GB2312" w:cs="仿宋_GB2312"/>
                <w:color w:val="000000"/>
                <w:kern w:val="0"/>
                <w:sz w:val="28"/>
                <w:szCs w:val="28"/>
                <w:highlight w:val="none"/>
                <w:lang w:val="en-US" w:eastAsia="zh-CN" w:bidi="ar"/>
              </w:rPr>
              <w:t>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2</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发动机控制单元供电电路断路</w:t>
            </w:r>
          </w:p>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起动机不转，发动 </w:t>
            </w:r>
          </w:p>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hint="eastAsia" w:ascii="仿宋_GB2312" w:hAnsi="宋体" w:eastAsia="仿宋_GB2312" w:cs="仿宋_GB2312"/>
                <w:color w:val="000000"/>
                <w:kern w:val="0"/>
                <w:sz w:val="28"/>
                <w:szCs w:val="28"/>
                <w:highlight w:val="none"/>
                <w:lang w:val="en-US" w:eastAsia="zh-CN" w:bidi="ar"/>
              </w:rPr>
              <w:t>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3</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燃油泵控制单元供电断路</w:t>
            </w: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起动机正常运转， </w:t>
            </w:r>
          </w:p>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hint="eastAsia" w:ascii="仿宋_GB2312" w:hAnsi="宋体" w:eastAsia="仿宋_GB2312" w:cs="仿宋_GB2312"/>
                <w:color w:val="000000"/>
                <w:kern w:val="0"/>
                <w:sz w:val="28"/>
                <w:szCs w:val="28"/>
                <w:highlight w:val="none"/>
                <w:lang w:val="en-US" w:eastAsia="zh-CN" w:bidi="ar"/>
              </w:rPr>
              <w:t>但发动机无法起动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4</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一缸点火线圈驱动信号虚接（</w:t>
            </w:r>
            <w:r>
              <w:rPr>
                <w:rFonts w:hint="default" w:ascii="Times New Roman" w:hAnsi="Times New Roman" w:eastAsia="宋体" w:cs="Times New Roman"/>
                <w:color w:val="000000"/>
                <w:kern w:val="0"/>
                <w:sz w:val="28"/>
                <w:szCs w:val="28"/>
                <w:highlight w:val="none"/>
                <w:lang w:val="en-US" w:eastAsia="zh-CN" w:bidi="ar"/>
              </w:rPr>
              <w:t>1000</w:t>
            </w:r>
            <w:r>
              <w:rPr>
                <w:rFonts w:hint="eastAsia" w:ascii="仿宋_GB2312" w:hAnsi="宋体" w:eastAsia="仿宋_GB2312" w:cs="仿宋_GB2312"/>
                <w:color w:val="000000"/>
                <w:kern w:val="0"/>
                <w:sz w:val="28"/>
                <w:szCs w:val="28"/>
                <w:highlight w:val="none"/>
                <w:lang w:val="en-US" w:eastAsia="zh-CN" w:bidi="ar"/>
              </w:rPr>
              <w:t>Ω）</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发动机运转不良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5</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采集故障波形</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 xml:space="preserve">发动机运转不良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6</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玻璃升降器开关信号线路断路</w:t>
            </w:r>
          </w:p>
          <w:p>
            <w:pPr>
              <w:adjustRightInd w:val="0"/>
              <w:snapToGrid w:val="0"/>
              <w:jc w:val="center"/>
              <w:rPr>
                <w:rFonts w:ascii="Times New Roman" w:hAnsi="Times New Roman" w:eastAsia="仿宋_GB2312"/>
                <w:color w:val="auto"/>
                <w:sz w:val="28"/>
                <w:szCs w:val="28"/>
                <w:highlight w:val="none"/>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电动车窗故障</w:t>
            </w:r>
          </w:p>
          <w:p>
            <w:pPr>
              <w:adjustRightInd w:val="0"/>
              <w:snapToGrid w:val="0"/>
              <w:jc w:val="center"/>
              <w:rPr>
                <w:rFonts w:ascii="Times New Roman" w:hAnsi="Times New Roman"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7</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中控门锁电机供电线路断路 </w:t>
            </w:r>
          </w:p>
          <w:p>
            <w:pPr>
              <w:adjustRightInd w:val="0"/>
              <w:snapToGrid w:val="0"/>
              <w:jc w:val="center"/>
              <w:rPr>
                <w:rFonts w:ascii="Times New Roman" w:hAnsi="Times New Roman" w:eastAsia="仿宋_GB2312"/>
                <w:color w:val="auto"/>
                <w:sz w:val="28"/>
                <w:szCs w:val="28"/>
                <w:highlight w:val="none"/>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中控门锁故障 </w:t>
            </w:r>
          </w:p>
          <w:p>
            <w:pPr>
              <w:adjustRightInd w:val="0"/>
              <w:snapToGrid w:val="0"/>
              <w:jc w:val="center"/>
              <w:rPr>
                <w:rFonts w:ascii="Times New Roman" w:hAnsi="Times New Roman"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8</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后视镜调整开关信号线断路</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后视镜故障</w:t>
            </w:r>
          </w:p>
        </w:tc>
      </w:tr>
    </w:tbl>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p>
      <w:pPr>
        <w:keepNext w:val="0"/>
        <w:keepLines w:val="0"/>
        <w:widowControl/>
        <w:suppressLineNumbers w:val="0"/>
        <w:jc w:val="left"/>
        <w:rPr>
          <w:rFonts w:hint="eastAsia" w:ascii="仿宋_GB2312" w:hAnsi="宋体" w:eastAsia="仿宋_GB2312" w:cs="仿宋_GB2312"/>
          <w:color w:val="000000"/>
          <w:kern w:val="0"/>
          <w:sz w:val="24"/>
          <w:szCs w:val="24"/>
          <w:highlight w:val="none"/>
          <w:lang w:val="en-US" w:eastAsia="zh-CN" w:bidi="ar"/>
        </w:rPr>
      </w:pPr>
      <w:r>
        <w:rPr>
          <w:rFonts w:hint="eastAsia"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 xml:space="preserve">模块各任务故障点数量不是固定的，故障点总数为不少于4个。 </w:t>
      </w:r>
    </w:p>
    <w:p>
      <w:pPr>
        <w:keepNext w:val="0"/>
        <w:keepLines w:val="0"/>
        <w:widowControl/>
        <w:suppressLineNumbers w:val="0"/>
        <w:jc w:val="left"/>
        <w:rPr>
          <w:rFonts w:hint="default" w:ascii="仿宋_GB2312" w:hAnsi="宋体" w:eastAsia="仿宋_GB2312" w:cs="仿宋_GB2312"/>
          <w:color w:val="000000"/>
          <w:kern w:val="0"/>
          <w:sz w:val="24"/>
          <w:szCs w:val="24"/>
          <w:highlight w:val="none"/>
          <w:lang w:val="en-US" w:eastAsia="zh-CN" w:bidi="ar"/>
        </w:rPr>
      </w:pPr>
      <w:r>
        <w:rPr>
          <w:rFonts w:hint="default" w:ascii="仿宋_GB2312" w:hAnsi="宋体" w:eastAsia="仿宋_GB2312" w:cs="仿宋_GB2312"/>
          <w:color w:val="000000"/>
          <w:kern w:val="0"/>
          <w:sz w:val="24"/>
          <w:szCs w:val="24"/>
          <w:highlight w:val="none"/>
          <w:lang w:val="en-US" w:eastAsia="zh-CN" w:bidi="ar"/>
        </w:rPr>
        <w:t>2.每个故障点分值依难度而定。</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24"/>
          <w:szCs w:val="24"/>
          <w:highlight w:val="none"/>
          <w:lang w:val="en-US" w:eastAsia="zh-CN" w:bidi="ar"/>
        </w:rPr>
        <w:t xml:space="preserve">3.诊断发动机无法起动故障时，不得使用诊断仪。 </w:t>
      </w:r>
    </w:p>
    <w:p>
      <w:pPr>
        <w:keepNext w:val="0"/>
        <w:keepLines w:val="0"/>
        <w:widowControl/>
        <w:suppressLineNumbers w:val="0"/>
        <w:jc w:val="left"/>
        <w:rPr>
          <w:rFonts w:hint="default"/>
          <w:highlight w:val="none"/>
          <w:lang w:val="en-US"/>
        </w:rPr>
      </w:pP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w:t>
      </w:r>
      <w:r>
        <w:rPr>
          <w:rFonts w:hint="eastAsia" w:ascii="仿宋_GB2312" w:hAnsi="宋体" w:eastAsia="仿宋_GB2312" w:cs="仿宋_GB2312"/>
          <w:color w:val="000000"/>
          <w:kern w:val="0"/>
          <w:sz w:val="24"/>
          <w:szCs w:val="24"/>
          <w:highlight w:val="none"/>
          <w:lang w:val="en-US" w:eastAsia="zh-CN" w:bidi="ar"/>
        </w:rPr>
        <w:t>确定故障的作业中，没有特定的顺序要求。</w:t>
      </w:r>
    </w:p>
    <w:p>
      <w:pPr>
        <w:spacing w:line="360" w:lineRule="auto"/>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9</w:t>
      </w:r>
    </w:p>
    <w:p>
      <w:pPr>
        <w:spacing w:line="560" w:lineRule="exact"/>
        <w:jc w:val="center"/>
        <w:rPr>
          <w:rFonts w:ascii="Times New Roman" w:hAnsi="Times New Roman" w:eastAsia="黑体"/>
          <w:b/>
          <w:color w:val="000000" w:themeColor="text1"/>
          <w:sz w:val="28"/>
          <w:szCs w:val="28"/>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jc w:val="center"/>
        <w:rPr>
          <w:rFonts w:ascii="Times New Roman" w:hAnsi="Times New Roman" w:eastAsia="仿宋_GB2312"/>
          <w:b/>
          <w:bCs/>
          <w:color w:val="000000" w:themeColor="text1"/>
          <w:highlight w:val="none"/>
          <w14:textFill>
            <w14:solidFill>
              <w14:schemeClr w14:val="tx1"/>
            </w14:solidFill>
          </w14:textFill>
        </w:rPr>
      </w:pPr>
      <w:r>
        <w:rPr>
          <w:rFonts w:ascii="Times New Roman" w:hAnsi="Times New Roman" w:eastAsia="仿宋_GB2312"/>
          <w:b/>
          <w:bCs/>
          <w:color w:val="000000" w:themeColor="text1"/>
          <w:highlight w:val="none"/>
          <w14:textFill>
            <w14:solidFill>
              <w14:schemeClr w14:val="tx1"/>
            </w14:solidFill>
          </w14:textFill>
        </w:rPr>
        <w:t>《模块A汽车动力及底盘电控系统故障检修》故障设置范围</w:t>
      </w:r>
    </w:p>
    <w:p>
      <w:pPr>
        <w:adjustRightInd w:val="0"/>
        <w:snapToGrid w:val="0"/>
        <w:spacing w:line="360" w:lineRule="auto"/>
        <w:jc w:val="left"/>
        <w:rPr>
          <w:rFonts w:ascii="Times New Roman" w:hAnsi="Times New Roman" w:eastAsia="仿宋_GB2312"/>
          <w:b/>
          <w:bCs/>
          <w:color w:val="000000" w:themeColor="text1"/>
          <w:sz w:val="18"/>
          <w:szCs w:val="18"/>
          <w:highlight w:val="none"/>
          <w14:textFill>
            <w14:solidFill>
              <w14:schemeClr w14:val="tx1"/>
            </w14:solidFill>
          </w14:textFill>
        </w:rPr>
      </w:pPr>
    </w:p>
    <w:tbl>
      <w:tblPr>
        <w:tblStyle w:val="10"/>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78" w:type="dxa"/>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故障现象</w:t>
            </w:r>
          </w:p>
        </w:tc>
        <w:tc>
          <w:tcPr>
            <w:tcW w:w="7377" w:type="dxa"/>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故障设置点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低压上电异常</w:t>
            </w:r>
          </w:p>
        </w:tc>
        <w:tc>
          <w:tcPr>
            <w:tcW w:w="7377"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1.围绕12V电源控制、防盗报警系统、车辆控制系统不能正常工作设置故障，故障主要设置在低压供电不正常方面。</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2.围绕造成仪表黑屏设置故障，故障主要设置在各种电源电路上，具体包括相关控制模块、保险丝、继电器、线路及连接器。</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3.围绕造成全车无电设置故障，故障主要设置在相关控制模块、继电器、相关保险丝、唤醒车辆元件、线路及连接器、关键信号的输入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高压上电异常</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1.围绕高压供电不正常的故障现象设置故障，故障主要设置在控制模块、电源及其搭铁线路，具体包括相关控制模块、保险丝、继电器、线路及插头连接。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2.围绕相关控制系统设置故障，故障主要设置在控制模块、传感器、执行器上，具体包括相关控制模块、保险丝、继电器、线路及插头连接。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3.围绕动力电池管理系统不能正常工作设置故障。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4.围绕电机控制系统不能正常工作设置故障。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5.围绕电机驱动系统不能正常工作设置故障。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6.围绕高压配电系统不能正常工作设置故障。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7.围绕热管理系统（电机/电池）不能正常工作设置故障。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8.围绕数据通讯系统（电机/电池）不能正常工作设置故障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车辆无法正常行驶</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围绕车辆无法正常行驶的故障现象设置故障，故障主要设置在控制</w:t>
            </w:r>
            <w:r>
              <w:rPr>
                <w:rFonts w:hint="eastAsia" w:ascii="Times New Roman" w:hAnsi="Times New Roman" w:eastAsia="仿宋_GB2312"/>
                <w:color w:val="auto"/>
                <w:sz w:val="18"/>
                <w:szCs w:val="18"/>
                <w:highlight w:val="none"/>
                <w:lang w:val="en-US" w:eastAsia="zh-CN"/>
              </w:rPr>
              <w:t xml:space="preserve">模块、电源及其搭铁线路，具体包括相关控制模块、控制开关、执行器、保险丝、继电器、线路及插头连接。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围绕相关控制系统设置故障，故障主要设置在控制模块、传感器、执行器上，具体包括相关控制模块、保险丝、继电器、线路及插头连接。 </w:t>
            </w:r>
          </w:p>
          <w:p>
            <w:pPr>
              <w:adjustRightInd w:val="0"/>
              <w:snapToGrid w:val="0"/>
              <w:spacing w:line="360" w:lineRule="auto"/>
              <w:jc w:val="left"/>
              <w:rPr>
                <w:rFonts w:hint="eastAsia" w:ascii="Times New Roman" w:hAnsi="Times New Roman" w:eastAsia="仿宋_GB2312"/>
                <w:color w:val="auto"/>
                <w:sz w:val="18"/>
                <w:szCs w:val="18"/>
                <w:highlight w:val="none"/>
                <w:lang w:val="en-US" w:eastAsia="zh-CN"/>
              </w:rPr>
            </w:pPr>
            <w:r>
              <w:rPr>
                <w:rFonts w:hint="eastAsia" w:ascii="Times New Roman" w:hAnsi="Times New Roman" w:eastAsia="仿宋_GB2312"/>
                <w:color w:val="auto"/>
                <w:sz w:val="18"/>
                <w:szCs w:val="18"/>
                <w:highlight w:val="none"/>
                <w:lang w:val="en-US" w:eastAsia="zh-CN"/>
              </w:rPr>
              <w:t>3.围绕电机驱动系统不能正常工作设置故障。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ascii="Times New Roman" w:hAnsi="Times New Roman" w:eastAsia="仿宋_GB2312"/>
                <w:color w:val="auto"/>
                <w:sz w:val="18"/>
                <w:szCs w:val="18"/>
                <w:highlight w:val="none"/>
                <w:lang w:val="en-US" w:eastAsia="zh-CN"/>
              </w:rPr>
              <w:t>围绕减速器控制系统不能正常工作设置故障。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车辆无法（含交流）充电</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1.围绕车辆无法充电的故障现象设置故障，故障主要设置在控制模块、电源及其搭铁线路，具体包括相关控制模块、保险丝、继电器、线路及插头连接。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2.围绕相关控制系统设置故障，故障主要设置在控制模块、传感器、执行器上，具体包括相关控制模块、保险丝、继电器、线路及插头连接。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3.围绕交流充电线路、充电枪及其控制线路、直流充电系统等不能正常工作设置故障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lang w:val="en-US" w:eastAsia="zh-CN"/>
              </w:rPr>
              <w:t>防抱死制</w:t>
            </w:r>
            <w:r>
              <w:rPr>
                <w:rFonts w:hint="eastAsia" w:ascii="Times New Roman" w:hAnsi="Times New Roman" w:eastAsia="仿宋_GB2312"/>
                <w:color w:val="auto"/>
                <w:sz w:val="18"/>
                <w:szCs w:val="18"/>
                <w:highlight w:val="none"/>
                <w:lang w:val="en-US" w:eastAsia="zh-CN"/>
              </w:rPr>
              <w:t>动失效或报警</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围绕该系统执行器设置元件及线路故障。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 xml:space="preserve">围绕该系统相关网络系统设置故障。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lang w:val="en-US" w:eastAsia="zh-CN"/>
              </w:rPr>
              <w:t>电动转向</w:t>
            </w:r>
            <w:r>
              <w:rPr>
                <w:rFonts w:hint="eastAsia" w:ascii="Times New Roman" w:hAnsi="Times New Roman" w:eastAsia="仿宋_GB2312"/>
                <w:color w:val="auto"/>
                <w:sz w:val="18"/>
                <w:szCs w:val="18"/>
                <w:highlight w:val="none"/>
                <w:lang w:val="en-US" w:eastAsia="zh-CN"/>
              </w:rPr>
              <w:t>系统失效或报警</w:t>
            </w:r>
          </w:p>
          <w:p>
            <w:pPr>
              <w:adjustRightInd w:val="0"/>
              <w:snapToGrid w:val="0"/>
              <w:spacing w:line="360" w:lineRule="auto"/>
              <w:jc w:val="left"/>
              <w:rPr>
                <w:rFonts w:ascii="Times New Roman" w:hAnsi="Times New Roman" w:eastAsia="仿宋_GB2312"/>
                <w:color w:val="auto"/>
                <w:sz w:val="18"/>
                <w:szCs w:val="18"/>
                <w:highlight w:val="none"/>
              </w:rPr>
            </w:pP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 xml:space="preserve">围绕该系统相关网络系统设置故障。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电子驻车制动系统失效或报警</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围绕该系统相关网络系统设置故障。</w:t>
            </w:r>
          </w:p>
        </w:tc>
      </w:tr>
    </w:tbl>
    <w:p>
      <w:pPr>
        <w:spacing w:line="560" w:lineRule="exact"/>
        <w:ind w:firstLine="482"/>
        <w:contextualSpacing/>
        <w:jc w:val="center"/>
        <w:rPr>
          <w:rFonts w:ascii="Times New Roman" w:hAnsi="Times New Roman"/>
          <w:b/>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ascii="仿宋_GB2312" w:hAnsi="宋体" w:eastAsia="仿宋_GB2312" w:cs="仿宋_GB2312"/>
          <w:color w:val="000000"/>
          <w:kern w:val="0"/>
          <w:sz w:val="24"/>
          <w:szCs w:val="24"/>
          <w:highlight w:val="none"/>
          <w:lang w:val="en-US" w:eastAsia="zh-CN" w:bidi="ar"/>
        </w:rPr>
        <w:t xml:space="preserve">故障包含有故障码故障和无故障码故障，故障形式可为单系统故障或多系统故障。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故障类型可能包括：线路断路、线路电阻过大（即串电阻）、插头端子缺失或损坏、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24"/>
          <w:szCs w:val="24"/>
          <w:highlight w:val="none"/>
          <w:lang w:val="en-US" w:eastAsia="zh-CN" w:bidi="ar"/>
        </w:rPr>
        <w:t>线路对正极短接、线路对地短接、单个元件插头上线路窜线、元件故障（对开关、保险丝、继电器、传感器等元件故障应进行测量验证，不可采用换件方式证明故障）、插头松动或脱落、元件装配故障、元件型号错误。</w:t>
      </w: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hint="default"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10</w:t>
      </w:r>
    </w:p>
    <w:p>
      <w:pPr>
        <w:spacing w:line="560" w:lineRule="exact"/>
        <w:jc w:val="center"/>
        <w:rPr>
          <w:rFonts w:ascii="Times New Roman" w:hAnsi="Times New Roman" w:eastAsia="黑体"/>
          <w:b/>
          <w:color w:val="000000" w:themeColor="text1"/>
          <w:sz w:val="28"/>
          <w:szCs w:val="28"/>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jc w:val="center"/>
        <w:rPr>
          <w:rFonts w:ascii="Times New Roman" w:hAnsi="Times New Roman" w:eastAsia="仿宋_GB2312"/>
          <w:b/>
          <w:bCs/>
          <w:color w:val="000000" w:themeColor="text1"/>
          <w:highlight w:val="none"/>
          <w14:textFill>
            <w14:solidFill>
              <w14:schemeClr w14:val="tx1"/>
            </w14:solidFill>
          </w14:textFill>
        </w:rPr>
      </w:pPr>
      <w:r>
        <w:rPr>
          <w:rFonts w:ascii="Times New Roman" w:hAnsi="Times New Roman" w:eastAsia="仿宋_GB2312"/>
          <w:b/>
          <w:bCs/>
          <w:color w:val="000000" w:themeColor="text1"/>
          <w:highlight w:val="none"/>
          <w14:textFill>
            <w14:solidFill>
              <w14:schemeClr w14:val="tx1"/>
            </w14:solidFill>
          </w14:textFill>
        </w:rPr>
        <w:t>《模块B发动机及车身电控系统故障检修》故障设置范围</w:t>
      </w:r>
    </w:p>
    <w:p>
      <w:pPr>
        <w:rPr>
          <w:rFonts w:ascii="Times New Roman" w:hAnsi="Times New Roman"/>
          <w:color w:val="000000" w:themeColor="text1"/>
          <w:highlight w:val="none"/>
          <w14:textFill>
            <w14:solidFill>
              <w14:schemeClr w14:val="tx1"/>
            </w14:solidFill>
          </w14:textFill>
        </w:rPr>
      </w:pPr>
    </w:p>
    <w:tbl>
      <w:tblPr>
        <w:tblStyle w:val="10"/>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78" w:type="dxa"/>
            <w:shd w:val="clear" w:color="auto" w:fill="F1F1F1"/>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故障现象</w:t>
            </w:r>
          </w:p>
        </w:tc>
        <w:tc>
          <w:tcPr>
            <w:tcW w:w="7377" w:type="dxa"/>
            <w:shd w:val="clear" w:color="auto" w:fill="F1F1F1"/>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故障设置点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发动机无法起动</w:t>
            </w:r>
          </w:p>
        </w:tc>
        <w:tc>
          <w:tcPr>
            <w:tcW w:w="7377"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1.围绕端子控制、防盗系统不能正常工作设置故障，故障主要设置在模块、通讯、电源等方面。</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2.围绕造成发动机控制模块不能进入工作状态设置故障，故障主要设置在各种电源电路上，具体包括相关控制模块、保险丝、继电器、线路及连接器。</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3.围绕造成发动机不能起动设置故障，故障主要设置在相关控制模块、继电器、相关保险丝、起动机、线路及连接器、关键信号的输入。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4.围绕相关控制系统设置故障，故障主要设置在传感器、执行器上，具体包括相关控制模块、保险丝、继电器、线路及插头连接。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5.围绕燃油供给系统不能正常工作设置故障，具体包括燃油泵、控制模块、保险丝、继电器、线路及插头连接。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6.围绕点火系统不能正常工作设置故障，具体包括点火系统电源、控制模块、保险丝、继电器、线路及插头连接。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7.围绕进排气及真空控制系统不能正常工作设置故障，具体包括节气门驱动电机、控制模块、相关传感器、执行器、保险丝、继电器、线路及插头连接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发动机工作不良</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1.围绕燃油供给系统不能正常工作设置故障，具体包括喷油器、传感器、控制模块、保险丝、继电器、线路及插头连接。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2.围绕点火系统不能正常工作设置故障，具体包括点火线圈及点火器电源、控制模块、火花塞、保险丝、继电器、线路及插头连接。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3.围绕进排气及真空控制系统不能正常工作设置故障，具体包括加速踏板位置传感器、可变配气相位控制、节气门位置传感器，节气门驱动电机、控制模块、保险丝、继电器、线路及插头连接。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4.围绕电控系统不能正常工作设置故障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电源管理系统</w:t>
            </w:r>
          </w:p>
        </w:tc>
        <w:tc>
          <w:tcPr>
            <w:tcW w:w="7377"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围绕造成车身电气系统无法正常工作设置故障，故障主要设置在相关电源、控制模块、继电器、保险丝、线路及连接器、关键信号的输入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进入及起动许可系统</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1.围绕进入及起动许可系统的供电、搭铁、通讯、控制模块及其相关电路，具体包括相关控制模块、保险丝、继电器、线路及插头连接。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2.围绕无钥匙进入及端子控制系统、电源供给、信号传递、元器件自身及其电路设置故障，故障主要设置在钥匙（信号收发）、传感器、执行器、控制模块、保险丝、继电器、线路及插头连接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舒适系统</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围绕自动空调控制系统的供电、搭铁、通讯、控制模块及其相关电</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路，具体包括相关控制模块、保险丝、继电器、线路及插头连接。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车身附件电路</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1.围绕玻璃升降器控制系统不能正常工作设置故障，具体包括各个升降器开关、升降器电动机、控制模块、保险丝、继电器、线路及插头连接。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2.围绕中控门锁控制系统不能正常工作设置故障，具体包括门锁功能开关、联锁开关、车门触摸传感器、车门天线、门锁电机、控制模块、保险丝、继电器、线路及插头连接。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3.围绕后视镜控制系统不能正常工作设置故障，具体包括左右后视镜转换开关、调节开关、调节电机、控制模块、保险丝、继电器、线路及插头连接。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4.围绕雨刮控制系统不能正常工作设置故障，具体包括雨刮调节开关、调节电机、控制模块、保险丝、继电器、线路及插头连接。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5.围绕喇叭控制系统不能正常工作设置故障，具体包括喇叭开关、高音喇叭、低音喇叭、控制模块、保险丝、继电器、线路及插头连接。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6.围绕多功能方向盘不能正常工作设置故障，具体包括定速巡航设置失效、仪表调节、声音调节等。</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7.围绕行李厢控制系统不能正常工作设置故障，具体包括行李厢控制开关（钥匙控制、开关控制）、电机、控制模块、保险丝、继电器、线路及插头连接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灯光控制</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系统和仪表与警告装置 </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灯光和信号系统不能正常工作设置各个故障点，包括远光灯、近光灯、示宽灯、制动灯、转向信号灯、尾灯、危险信号警告灯、雾灯、牌照灯、倒车灯控制系统及其电路、信号输入（开关及其线路）、控制单元输出（灯泡、模块等执行器及其线路）、相关控制单元及其电源电路故障对系统的影响。</w:t>
            </w:r>
          </w:p>
          <w:p>
            <w:pPr>
              <w:adjustRightInd w:val="0"/>
              <w:snapToGrid w:val="0"/>
              <w:spacing w:line="360" w:lineRule="auto"/>
              <w:jc w:val="left"/>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2.围绕驾驶室内部开关，面板灯照明系统，氛围灯照明的系统设置故障点，包括内部照明信号传递路径及经过的常规线路信号传递、总线传递信号、控制单元控制逻辑</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等。</w:t>
            </w:r>
          </w:p>
          <w:p>
            <w:pPr>
              <w:adjustRightInd w:val="0"/>
              <w:snapToGrid w:val="0"/>
              <w:spacing w:line="360" w:lineRule="auto"/>
              <w:jc w:val="left"/>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3.围绕仪表与警告装置故障点，包括信号传递路径及经过的常规线路信号传递、总线传递信号、控制单元控制逻辑等。 </w:t>
            </w:r>
          </w:p>
        </w:tc>
      </w:tr>
    </w:tbl>
    <w:p>
      <w:pPr>
        <w:pStyle w:val="5"/>
        <w:rPr>
          <w:rFonts w:ascii="Times New Roman" w:hAnsi="Times New Roman"/>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 xml:space="preserve">故障包含有故障码故障和无故障码故障，故障形式可为单系统故障或多系统故障。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故障类型可能包括：线路断路、线路电阻过大（即串电阻）、插头端子缺失或损坏、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24"/>
          <w:szCs w:val="24"/>
          <w:highlight w:val="none"/>
          <w:lang w:val="en-US" w:eastAsia="zh-CN" w:bidi="ar"/>
        </w:rPr>
        <w:t>线路对正极短接、线路对地短接、单个元件插头上线路窜线、元件故障（对开关、保险丝、继电器、传感器等元件故障应进行测量验证，不可采用换件方式证明故障）、插头松动或脱落、元件装配故障、元件型号错误。</w:t>
      </w:r>
    </w:p>
    <w:sectPr>
      <w:headerReference r:id="rId5" w:type="default"/>
      <w:footerReference r:id="rId6" w:type="default"/>
      <w:pgSz w:w="11906" w:h="16838"/>
      <w:pgMar w:top="1383" w:right="1463" w:bottom="1383" w:left="146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8"/>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3FCE14-9566-4B1C-89BC-7D77298012BA}"/>
  </w:font>
  <w:font w:name="Arial">
    <w:panose1 w:val="020B0604020202020204"/>
    <w:charset w:val="01"/>
    <w:family w:val="swiss"/>
    <w:pitch w:val="default"/>
    <w:sig w:usb0="E0002EFF" w:usb1="C000785B" w:usb2="00000009" w:usb3="00000000" w:csb0="400001FF" w:csb1="FFFF0000"/>
    <w:embedRegular r:id="rId2" w:fontKey="{D811E304-7057-473A-9E85-0AE1B9B45238}"/>
  </w:font>
  <w:font w:name="黑体">
    <w:panose1 w:val="02010609060101010101"/>
    <w:charset w:val="86"/>
    <w:family w:val="auto"/>
    <w:pitch w:val="default"/>
    <w:sig w:usb0="800002BF" w:usb1="38CF7CFA" w:usb2="00000016" w:usb3="00000000" w:csb0="00040001" w:csb1="00000000"/>
    <w:embedRegular r:id="rId3" w:fontKey="{01BF9916-FAB9-4278-BEEB-57D9EF01F0EA}"/>
  </w:font>
  <w:font w:name="Courier New">
    <w:panose1 w:val="02070309020205020404"/>
    <w:charset w:val="01"/>
    <w:family w:val="modern"/>
    <w:pitch w:val="default"/>
    <w:sig w:usb0="E0002EFF" w:usb1="C0007843" w:usb2="00000009" w:usb3="00000000" w:csb0="400001FF" w:csb1="FFFF0000"/>
    <w:embedRegular r:id="rId4" w:fontKey="{8E0CFBD7-51AE-490C-AA83-554477AF4D7D}"/>
  </w:font>
  <w:font w:name="Symbol">
    <w:panose1 w:val="05050102010706020507"/>
    <w:charset w:val="02"/>
    <w:family w:val="roman"/>
    <w:pitch w:val="default"/>
    <w:sig w:usb0="00000000" w:usb1="00000000" w:usb2="00000000" w:usb3="00000000" w:csb0="80000000" w:csb1="00000000"/>
    <w:embedRegular r:id="rId5" w:fontKey="{D36A0C48-C4DE-4EA9-A433-5AA49C974579}"/>
  </w:font>
  <w:font w:name="Calibri">
    <w:panose1 w:val="020F0502020204030204"/>
    <w:charset w:val="00"/>
    <w:family w:val="swiss"/>
    <w:pitch w:val="default"/>
    <w:sig w:usb0="E4002EFF" w:usb1="C200247B" w:usb2="00000009" w:usb3="00000000" w:csb0="200001FF" w:csb1="00000000"/>
    <w:embedRegular r:id="rId6" w:fontKey="{A609A475-4177-4742-BA20-683D1FB94D79}"/>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7" w:fontKey="{257F02E8-0D15-46E8-8C13-3103D631AD4D}"/>
  </w:font>
  <w:font w:name="仿宋_GB2312">
    <w:panose1 w:val="02010609030101010101"/>
    <w:charset w:val="86"/>
    <w:family w:val="modern"/>
    <w:pitch w:val="default"/>
    <w:sig w:usb0="00000001" w:usb1="080E0000" w:usb2="00000000" w:usb3="00000000" w:csb0="00040000" w:csb1="00000000"/>
    <w:embedRegular r:id="rId8" w:fontKey="{27B9F280-21B1-4ADE-B386-03B257BAB728}"/>
  </w:font>
  <w:font w:name="仿宋">
    <w:panose1 w:val="02010609060101010101"/>
    <w:charset w:val="86"/>
    <w:family w:val="auto"/>
    <w:pitch w:val="default"/>
    <w:sig w:usb0="800002BF" w:usb1="38CF7CFA" w:usb2="00000016" w:usb3="00000000" w:csb0="00040001" w:csb1="00000000"/>
    <w:embedRegular r:id="rId9" w:fontKey="{C3C7E02F-9C74-465E-AEDE-E12D991BCB42}"/>
  </w:font>
  <w:font w:name="微软雅黑">
    <w:panose1 w:val="020B0503020204020204"/>
    <w:charset w:val="86"/>
    <w:family w:val="swiss"/>
    <w:pitch w:val="default"/>
    <w:sig w:usb0="80000287" w:usb1="2ACF3C50" w:usb2="00000016" w:usb3="00000000" w:csb0="0004001F" w:csb1="00000000"/>
    <w:embedRegular r:id="rId10" w:fontKey="{8A41EEF0-4BE5-4373-A759-57CDCE936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44"/>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75594349"/>
                            <w:docPartObj>
                              <w:docPartGallery w:val="autotext"/>
                            </w:docPartObj>
                          </w:sdtPr>
                          <w:sdtEndPr>
                            <w:rPr>
                              <w:rFonts w:ascii="Times New Roman" w:hAnsi="Times New Roman"/>
                              <w:sz w:val="28"/>
                              <w:szCs w:val="44"/>
                            </w:rPr>
                          </w:sdtEndPr>
                          <w:sdtContent>
                            <w:p>
                              <w:pPr>
                                <w:pStyle w:val="7"/>
                                <w:jc w:val="center"/>
                                <w:rPr>
                                  <w:rFonts w:ascii="Times New Roman" w:hAnsi="Times New Roman"/>
                                  <w:sz w:val="28"/>
                                  <w:szCs w:val="44"/>
                                </w:rPr>
                              </w:pPr>
                              <w:r>
                                <w:rPr>
                                  <w:rFonts w:ascii="Times New Roman" w:hAnsi="Times New Roman"/>
                                  <w:sz w:val="28"/>
                                  <w:szCs w:val="44"/>
                                </w:rPr>
                                <w:fldChar w:fldCharType="begin"/>
                              </w:r>
                              <w:r>
                                <w:rPr>
                                  <w:rFonts w:ascii="Times New Roman" w:hAnsi="Times New Roman"/>
                                  <w:sz w:val="28"/>
                                  <w:szCs w:val="44"/>
                                </w:rPr>
                                <w:instrText xml:space="preserve">PAGE   \* MERGEFORMAT</w:instrText>
                              </w:r>
                              <w:r>
                                <w:rPr>
                                  <w:rFonts w:ascii="Times New Roman" w:hAnsi="Times New Roman"/>
                                  <w:sz w:val="28"/>
                                  <w:szCs w:val="44"/>
                                </w:rPr>
                                <w:fldChar w:fldCharType="separate"/>
                              </w:r>
                              <w:r>
                                <w:rPr>
                                  <w:rFonts w:ascii="Times New Roman" w:hAnsi="Times New Roman"/>
                                  <w:sz w:val="28"/>
                                  <w:szCs w:val="44"/>
                                  <w:lang w:val="zh-CN"/>
                                </w:rPr>
                                <w:t>2</w:t>
                              </w:r>
                              <w:r>
                                <w:rPr>
                                  <w:rFonts w:ascii="Times New Roman" w:hAnsi="Times New Roman"/>
                                  <w:sz w:val="28"/>
                                  <w:szCs w:val="44"/>
                                </w:rPr>
                                <w:fldChar w:fldCharType="end"/>
                              </w:r>
                            </w:p>
                          </w:sdtContent>
                        </w:sdt>
                        <w:p>
                          <w:pPr>
                            <w:rPr>
                              <w:rFonts w:ascii="Times New Roman" w:hAnsi="Times New Roman"/>
                              <w:sz w:val="28"/>
                              <w:szCs w:val="4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375594349"/>
                      <w:docPartObj>
                        <w:docPartGallery w:val="autotext"/>
                      </w:docPartObj>
                    </w:sdtPr>
                    <w:sdtEndPr>
                      <w:rPr>
                        <w:rFonts w:ascii="Times New Roman" w:hAnsi="Times New Roman"/>
                        <w:sz w:val="28"/>
                        <w:szCs w:val="44"/>
                      </w:rPr>
                    </w:sdtEndPr>
                    <w:sdtContent>
                      <w:p>
                        <w:pPr>
                          <w:pStyle w:val="7"/>
                          <w:jc w:val="center"/>
                          <w:rPr>
                            <w:rFonts w:ascii="Times New Roman" w:hAnsi="Times New Roman"/>
                            <w:sz w:val="28"/>
                            <w:szCs w:val="44"/>
                          </w:rPr>
                        </w:pPr>
                        <w:r>
                          <w:rPr>
                            <w:rFonts w:ascii="Times New Roman" w:hAnsi="Times New Roman"/>
                            <w:sz w:val="28"/>
                            <w:szCs w:val="44"/>
                          </w:rPr>
                          <w:fldChar w:fldCharType="begin"/>
                        </w:r>
                        <w:r>
                          <w:rPr>
                            <w:rFonts w:ascii="Times New Roman" w:hAnsi="Times New Roman"/>
                            <w:sz w:val="28"/>
                            <w:szCs w:val="44"/>
                          </w:rPr>
                          <w:instrText xml:space="preserve">PAGE   \* MERGEFORMAT</w:instrText>
                        </w:r>
                        <w:r>
                          <w:rPr>
                            <w:rFonts w:ascii="Times New Roman" w:hAnsi="Times New Roman"/>
                            <w:sz w:val="28"/>
                            <w:szCs w:val="44"/>
                          </w:rPr>
                          <w:fldChar w:fldCharType="separate"/>
                        </w:r>
                        <w:r>
                          <w:rPr>
                            <w:rFonts w:ascii="Times New Roman" w:hAnsi="Times New Roman"/>
                            <w:sz w:val="28"/>
                            <w:szCs w:val="44"/>
                            <w:lang w:val="zh-CN"/>
                          </w:rPr>
                          <w:t>2</w:t>
                        </w:r>
                        <w:r>
                          <w:rPr>
                            <w:rFonts w:ascii="Times New Roman" w:hAnsi="Times New Roman"/>
                            <w:sz w:val="28"/>
                            <w:szCs w:val="44"/>
                          </w:rPr>
                          <w:fldChar w:fldCharType="end"/>
                        </w:r>
                      </w:p>
                    </w:sdtContent>
                  </w:sdt>
                  <w:p>
                    <w:pPr>
                      <w:rPr>
                        <w:rFonts w:ascii="Times New Roman" w:hAnsi="Times New Roman"/>
                        <w:sz w:val="28"/>
                        <w:szCs w:val="44"/>
                      </w:rPr>
                    </w:pP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4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sz w:val="28"/>
        <w:szCs w:val="48"/>
      </w:rPr>
      <w:t>1</w:t>
    </w:r>
  </w:p>
  <w:p>
    <w:pPr>
      <w:pStyle w:val="7"/>
      <w:rPr>
        <w:sz w:val="16"/>
        <w:szCs w:val="16"/>
        <w:lang w:val="fr-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5585" cy="466090"/>
              <wp:effectExtent l="4445" t="3810" r="0" b="0"/>
              <wp:wrapNone/>
              <wp:docPr id="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235585" cy="466090"/>
                      </a:xfrm>
                      <a:prstGeom prst="rect">
                        <a:avLst/>
                      </a:prstGeom>
                      <a:noFill/>
                      <a:ln>
                        <a:noFill/>
                      </a:ln>
                      <a:effectLst/>
                    </wps:spPr>
                    <wps:txbx>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36.7pt;width:18.55pt;mso-position-horizontal:center;mso-position-horizontal-relative:margin;mso-wrap-style:none;z-index:251660288;mso-width-relative:page;mso-height-relative:page;" filled="f" stroked="f" coordsize="21600,21600" o:gfxdata="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gALB9EAAAADAQAADwAAAAAAAAABACAAAAAi&#10;AAAAZHJzL2Rvd25yZXYueG1sUEsBAhQAFAAAAAgAh07iQHflgN4RAgAAEwQAAA4AAAAAAAAAAQAg&#10;AAAAIAEAAGRycy9lMm9Eb2MueG1sUEsFBgAAAAAGAAYAWQEAAKMFAAAAAA==&#10;">
              <v:fill on="f" focussize="0,0"/>
              <v:stroke on="f"/>
              <v:imagedata o:title=""/>
              <o:lock v:ext="edit" aspectratio="f"/>
              <v:textbox inset="0mm,0mm,0mm,0mm" style="mso-fit-shape-to-text:t;">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v:textbox>
            </v:shape>
          </w:pict>
        </mc:Fallback>
      </mc:AlternateContent>
    </w:r>
  </w:p>
  <w:p>
    <w:pPr>
      <w:tabs>
        <w:tab w:val="center" w:pos="4153"/>
        <w:tab w:val="right" w:pos="8306"/>
      </w:tabs>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77F53E"/>
    <w:multiLevelType w:val="singleLevel"/>
    <w:tmpl w:val="2277F53E"/>
    <w:lvl w:ilvl="0" w:tentative="0">
      <w:start w:val="1"/>
      <w:numFmt w:val="bullet"/>
      <w:pStyle w:val="3"/>
      <w:lvlText w:val=""/>
      <w:lvlJc w:val="left"/>
      <w:pPr>
        <w:tabs>
          <w:tab w:val="left" w:pos="360"/>
        </w:tabs>
        <w:ind w:left="36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wNzg3M2M2NDVhNGYyMGQxZTFmMzNmYjYzYThjZjYifQ=="/>
  </w:docVars>
  <w:rsids>
    <w:rsidRoot w:val="00DC4F3C"/>
    <w:rsid w:val="00013EB0"/>
    <w:rsid w:val="000A58C1"/>
    <w:rsid w:val="000F2B1C"/>
    <w:rsid w:val="0013059A"/>
    <w:rsid w:val="001337C3"/>
    <w:rsid w:val="001E6FF0"/>
    <w:rsid w:val="00255206"/>
    <w:rsid w:val="00255EB6"/>
    <w:rsid w:val="00260363"/>
    <w:rsid w:val="002F1F46"/>
    <w:rsid w:val="003058E9"/>
    <w:rsid w:val="003339CA"/>
    <w:rsid w:val="00341E02"/>
    <w:rsid w:val="003729DD"/>
    <w:rsid w:val="003B09AA"/>
    <w:rsid w:val="003B3831"/>
    <w:rsid w:val="003C3475"/>
    <w:rsid w:val="003F0149"/>
    <w:rsid w:val="00415773"/>
    <w:rsid w:val="00427D20"/>
    <w:rsid w:val="00453050"/>
    <w:rsid w:val="004907F4"/>
    <w:rsid w:val="004A0E5C"/>
    <w:rsid w:val="00500F50"/>
    <w:rsid w:val="005121C1"/>
    <w:rsid w:val="00621934"/>
    <w:rsid w:val="0062798B"/>
    <w:rsid w:val="0067376E"/>
    <w:rsid w:val="00676591"/>
    <w:rsid w:val="0068544E"/>
    <w:rsid w:val="006A088B"/>
    <w:rsid w:val="006A2344"/>
    <w:rsid w:val="006B2910"/>
    <w:rsid w:val="006B3489"/>
    <w:rsid w:val="006E0C89"/>
    <w:rsid w:val="006E436C"/>
    <w:rsid w:val="006E76BD"/>
    <w:rsid w:val="006F0715"/>
    <w:rsid w:val="00776EB0"/>
    <w:rsid w:val="007B7528"/>
    <w:rsid w:val="007C4BFE"/>
    <w:rsid w:val="007D15CC"/>
    <w:rsid w:val="007D3643"/>
    <w:rsid w:val="007E531D"/>
    <w:rsid w:val="00820B0D"/>
    <w:rsid w:val="00826CCE"/>
    <w:rsid w:val="00842731"/>
    <w:rsid w:val="008D088F"/>
    <w:rsid w:val="008D0F84"/>
    <w:rsid w:val="00912C9C"/>
    <w:rsid w:val="00954469"/>
    <w:rsid w:val="00954577"/>
    <w:rsid w:val="009B592D"/>
    <w:rsid w:val="009C6CB5"/>
    <w:rsid w:val="00A4666C"/>
    <w:rsid w:val="00A93E0C"/>
    <w:rsid w:val="00AC2449"/>
    <w:rsid w:val="00AE350C"/>
    <w:rsid w:val="00AF667C"/>
    <w:rsid w:val="00B4118D"/>
    <w:rsid w:val="00B43560"/>
    <w:rsid w:val="00B66521"/>
    <w:rsid w:val="00B73C38"/>
    <w:rsid w:val="00B9744B"/>
    <w:rsid w:val="00BA3942"/>
    <w:rsid w:val="00BD15FF"/>
    <w:rsid w:val="00BE16CD"/>
    <w:rsid w:val="00C2682C"/>
    <w:rsid w:val="00C316C8"/>
    <w:rsid w:val="00C34894"/>
    <w:rsid w:val="00C4430F"/>
    <w:rsid w:val="00C4739E"/>
    <w:rsid w:val="00C71A09"/>
    <w:rsid w:val="00CE0BFA"/>
    <w:rsid w:val="00CE35C5"/>
    <w:rsid w:val="00CE64D2"/>
    <w:rsid w:val="00D256E7"/>
    <w:rsid w:val="00D32C3F"/>
    <w:rsid w:val="00D649D8"/>
    <w:rsid w:val="00D84F0C"/>
    <w:rsid w:val="00DA4398"/>
    <w:rsid w:val="00DB4348"/>
    <w:rsid w:val="00DC4F3C"/>
    <w:rsid w:val="00DE5305"/>
    <w:rsid w:val="00E65407"/>
    <w:rsid w:val="00E657A1"/>
    <w:rsid w:val="00F86F45"/>
    <w:rsid w:val="00FD43FA"/>
    <w:rsid w:val="00FD7164"/>
    <w:rsid w:val="01223935"/>
    <w:rsid w:val="0157386E"/>
    <w:rsid w:val="01715AB9"/>
    <w:rsid w:val="01C73144"/>
    <w:rsid w:val="021E5918"/>
    <w:rsid w:val="03215DBB"/>
    <w:rsid w:val="0383720A"/>
    <w:rsid w:val="03F7303D"/>
    <w:rsid w:val="04124462"/>
    <w:rsid w:val="04445A8F"/>
    <w:rsid w:val="04C904B8"/>
    <w:rsid w:val="04E37654"/>
    <w:rsid w:val="053046AA"/>
    <w:rsid w:val="06510766"/>
    <w:rsid w:val="07C970EA"/>
    <w:rsid w:val="07ED492C"/>
    <w:rsid w:val="092D5E72"/>
    <w:rsid w:val="0AB063A2"/>
    <w:rsid w:val="0AB811CC"/>
    <w:rsid w:val="0B4E38D0"/>
    <w:rsid w:val="0C252478"/>
    <w:rsid w:val="0CC67A7E"/>
    <w:rsid w:val="0D2070E4"/>
    <w:rsid w:val="0D2E6B85"/>
    <w:rsid w:val="0DDC326C"/>
    <w:rsid w:val="0E301610"/>
    <w:rsid w:val="0E7B0A75"/>
    <w:rsid w:val="0E7E40C2"/>
    <w:rsid w:val="0F0D5446"/>
    <w:rsid w:val="104E7AC7"/>
    <w:rsid w:val="10A8232F"/>
    <w:rsid w:val="1134315E"/>
    <w:rsid w:val="11B04EDA"/>
    <w:rsid w:val="134E4D39"/>
    <w:rsid w:val="14052826"/>
    <w:rsid w:val="143771ED"/>
    <w:rsid w:val="146319DB"/>
    <w:rsid w:val="14D87EB6"/>
    <w:rsid w:val="15D22E0D"/>
    <w:rsid w:val="15EB1147"/>
    <w:rsid w:val="15EC2411"/>
    <w:rsid w:val="16B94831"/>
    <w:rsid w:val="17914E66"/>
    <w:rsid w:val="18037F78"/>
    <w:rsid w:val="18162409"/>
    <w:rsid w:val="1825483B"/>
    <w:rsid w:val="18813EDD"/>
    <w:rsid w:val="18B17A08"/>
    <w:rsid w:val="18D01F80"/>
    <w:rsid w:val="19121BF9"/>
    <w:rsid w:val="192341E3"/>
    <w:rsid w:val="19397563"/>
    <w:rsid w:val="194618AB"/>
    <w:rsid w:val="19846B6B"/>
    <w:rsid w:val="1BA62D09"/>
    <w:rsid w:val="1C27324C"/>
    <w:rsid w:val="1D94040F"/>
    <w:rsid w:val="1DE90352"/>
    <w:rsid w:val="1E8D4958"/>
    <w:rsid w:val="1F7268A6"/>
    <w:rsid w:val="200417BC"/>
    <w:rsid w:val="20665761"/>
    <w:rsid w:val="20786648"/>
    <w:rsid w:val="216E0D07"/>
    <w:rsid w:val="22082A45"/>
    <w:rsid w:val="22295E3B"/>
    <w:rsid w:val="22C45E62"/>
    <w:rsid w:val="22FF492B"/>
    <w:rsid w:val="23323AE3"/>
    <w:rsid w:val="23D607AF"/>
    <w:rsid w:val="241B6F25"/>
    <w:rsid w:val="245B69F3"/>
    <w:rsid w:val="24872257"/>
    <w:rsid w:val="24AE7DF4"/>
    <w:rsid w:val="24BC36D7"/>
    <w:rsid w:val="26655E3B"/>
    <w:rsid w:val="271B7D24"/>
    <w:rsid w:val="28B135BA"/>
    <w:rsid w:val="290D5ED8"/>
    <w:rsid w:val="29325D7D"/>
    <w:rsid w:val="295D53A7"/>
    <w:rsid w:val="2A147807"/>
    <w:rsid w:val="2AAE6F6F"/>
    <w:rsid w:val="2AD1644D"/>
    <w:rsid w:val="2B9724F3"/>
    <w:rsid w:val="2CBC42DB"/>
    <w:rsid w:val="2CE57875"/>
    <w:rsid w:val="2D241B95"/>
    <w:rsid w:val="2DEA4ADC"/>
    <w:rsid w:val="2E18120B"/>
    <w:rsid w:val="2E8351BC"/>
    <w:rsid w:val="2EA95C89"/>
    <w:rsid w:val="2EF979B7"/>
    <w:rsid w:val="31ED7E88"/>
    <w:rsid w:val="31EF3574"/>
    <w:rsid w:val="32D8384A"/>
    <w:rsid w:val="335A2AA0"/>
    <w:rsid w:val="34350868"/>
    <w:rsid w:val="35170C48"/>
    <w:rsid w:val="353B0EC3"/>
    <w:rsid w:val="3558309C"/>
    <w:rsid w:val="359F479A"/>
    <w:rsid w:val="38683569"/>
    <w:rsid w:val="3879343A"/>
    <w:rsid w:val="388F4F9A"/>
    <w:rsid w:val="38FB0FE8"/>
    <w:rsid w:val="399620B1"/>
    <w:rsid w:val="39DD4EC5"/>
    <w:rsid w:val="39FE23D7"/>
    <w:rsid w:val="3A163814"/>
    <w:rsid w:val="3C226835"/>
    <w:rsid w:val="3C9506A5"/>
    <w:rsid w:val="3D737D78"/>
    <w:rsid w:val="3D80508F"/>
    <w:rsid w:val="3F2E3E7F"/>
    <w:rsid w:val="3FDB5A59"/>
    <w:rsid w:val="409938BD"/>
    <w:rsid w:val="40D14C74"/>
    <w:rsid w:val="419D24D5"/>
    <w:rsid w:val="41CC46CD"/>
    <w:rsid w:val="41D872C4"/>
    <w:rsid w:val="423C7070"/>
    <w:rsid w:val="4304690F"/>
    <w:rsid w:val="43197149"/>
    <w:rsid w:val="43C94949"/>
    <w:rsid w:val="44225E77"/>
    <w:rsid w:val="442742D8"/>
    <w:rsid w:val="45F46220"/>
    <w:rsid w:val="47AC3472"/>
    <w:rsid w:val="47F02E52"/>
    <w:rsid w:val="48786162"/>
    <w:rsid w:val="494E3A04"/>
    <w:rsid w:val="49975BCE"/>
    <w:rsid w:val="4A147F9E"/>
    <w:rsid w:val="4A1E68DB"/>
    <w:rsid w:val="4A823140"/>
    <w:rsid w:val="4AC73EC1"/>
    <w:rsid w:val="4B6562F8"/>
    <w:rsid w:val="4B815B20"/>
    <w:rsid w:val="4C303F46"/>
    <w:rsid w:val="4CB60B91"/>
    <w:rsid w:val="4D4F0EAF"/>
    <w:rsid w:val="4D4F574C"/>
    <w:rsid w:val="4E6D186A"/>
    <w:rsid w:val="4E7524C7"/>
    <w:rsid w:val="4E9051F3"/>
    <w:rsid w:val="4EC8236A"/>
    <w:rsid w:val="4F615D3C"/>
    <w:rsid w:val="50665BE5"/>
    <w:rsid w:val="5097780F"/>
    <w:rsid w:val="50E023DF"/>
    <w:rsid w:val="511B6599"/>
    <w:rsid w:val="51384548"/>
    <w:rsid w:val="518C7353"/>
    <w:rsid w:val="52CF094C"/>
    <w:rsid w:val="531159FF"/>
    <w:rsid w:val="536E3CD2"/>
    <w:rsid w:val="54352A41"/>
    <w:rsid w:val="54432833"/>
    <w:rsid w:val="55B36272"/>
    <w:rsid w:val="55D43B94"/>
    <w:rsid w:val="566413BC"/>
    <w:rsid w:val="56BB4C04"/>
    <w:rsid w:val="56BE0ACC"/>
    <w:rsid w:val="56F2441E"/>
    <w:rsid w:val="5701052C"/>
    <w:rsid w:val="57574A7D"/>
    <w:rsid w:val="577D3A3B"/>
    <w:rsid w:val="5909450B"/>
    <w:rsid w:val="59393CA9"/>
    <w:rsid w:val="59440021"/>
    <w:rsid w:val="59C7326B"/>
    <w:rsid w:val="59CB2213"/>
    <w:rsid w:val="5AAC3620"/>
    <w:rsid w:val="5BD463A5"/>
    <w:rsid w:val="5BD60666"/>
    <w:rsid w:val="5C221AFD"/>
    <w:rsid w:val="5D061E08"/>
    <w:rsid w:val="5D890E11"/>
    <w:rsid w:val="5DBC6A5D"/>
    <w:rsid w:val="5E021693"/>
    <w:rsid w:val="5E9722E2"/>
    <w:rsid w:val="5FF80BEE"/>
    <w:rsid w:val="6058095A"/>
    <w:rsid w:val="6066619A"/>
    <w:rsid w:val="607B4E03"/>
    <w:rsid w:val="626F6586"/>
    <w:rsid w:val="642C71BC"/>
    <w:rsid w:val="64CA3934"/>
    <w:rsid w:val="663D52B4"/>
    <w:rsid w:val="66820D2D"/>
    <w:rsid w:val="66E856F1"/>
    <w:rsid w:val="67095B39"/>
    <w:rsid w:val="6758429C"/>
    <w:rsid w:val="676236F6"/>
    <w:rsid w:val="67F65354"/>
    <w:rsid w:val="67FA4913"/>
    <w:rsid w:val="688738E9"/>
    <w:rsid w:val="68CF4AB0"/>
    <w:rsid w:val="69A42991"/>
    <w:rsid w:val="69CB51A1"/>
    <w:rsid w:val="6A1724D2"/>
    <w:rsid w:val="6AD217EB"/>
    <w:rsid w:val="6BEF4116"/>
    <w:rsid w:val="6BFD7F07"/>
    <w:rsid w:val="6C147FB2"/>
    <w:rsid w:val="6C3A254B"/>
    <w:rsid w:val="6D821C9F"/>
    <w:rsid w:val="6DC70487"/>
    <w:rsid w:val="6DE87DC1"/>
    <w:rsid w:val="6E5970A0"/>
    <w:rsid w:val="6E6D3918"/>
    <w:rsid w:val="6E7B6E4B"/>
    <w:rsid w:val="6E9F51FF"/>
    <w:rsid w:val="6F975238"/>
    <w:rsid w:val="6FC54176"/>
    <w:rsid w:val="719533EC"/>
    <w:rsid w:val="71F17656"/>
    <w:rsid w:val="722E49AC"/>
    <w:rsid w:val="740F1BA4"/>
    <w:rsid w:val="749470CF"/>
    <w:rsid w:val="74CA4198"/>
    <w:rsid w:val="756C078F"/>
    <w:rsid w:val="76637A2B"/>
    <w:rsid w:val="769B7EE0"/>
    <w:rsid w:val="76DC186C"/>
    <w:rsid w:val="77124799"/>
    <w:rsid w:val="77BA4669"/>
    <w:rsid w:val="78C6102E"/>
    <w:rsid w:val="78FC78B1"/>
    <w:rsid w:val="7A5C15F7"/>
    <w:rsid w:val="7A614AAA"/>
    <w:rsid w:val="7A9606A4"/>
    <w:rsid w:val="7AFE508C"/>
    <w:rsid w:val="7C223584"/>
    <w:rsid w:val="7D1B2825"/>
    <w:rsid w:val="7D7F4C76"/>
    <w:rsid w:val="7D9341B1"/>
    <w:rsid w:val="7E232BFD"/>
    <w:rsid w:val="7FB9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rPr>
      <w:szCs w:val="20"/>
    </w:rPr>
  </w:style>
  <w:style w:type="paragraph" w:styleId="3">
    <w:name w:val="List Bullet"/>
    <w:basedOn w:val="1"/>
    <w:qFormat/>
    <w:uiPriority w:val="0"/>
    <w:pPr>
      <w:numPr>
        <w:ilvl w:val="0"/>
        <w:numId w:val="1"/>
      </w:numPr>
    </w:pPr>
  </w:style>
  <w:style w:type="paragraph" w:styleId="4">
    <w:name w:val="annotation text"/>
    <w:basedOn w:val="1"/>
    <w:unhideWhenUsed/>
    <w:qFormat/>
    <w:uiPriority w:val="99"/>
    <w:pPr>
      <w:jc w:val="left"/>
    </w:pPr>
  </w:style>
  <w:style w:type="paragraph" w:styleId="5">
    <w:name w:val="Body Text"/>
    <w:basedOn w:val="1"/>
    <w:qFormat/>
    <w:uiPriority w:val="1"/>
    <w:rPr>
      <w:sz w:val="28"/>
      <w:szCs w:val="28"/>
    </w:rPr>
  </w:style>
  <w:style w:type="paragraph" w:styleId="6">
    <w:name w:val="Body Text Indent"/>
    <w:basedOn w:val="1"/>
    <w:unhideWhenUsed/>
    <w:qFormat/>
    <w:uiPriority w:val="99"/>
    <w:pPr>
      <w:spacing w:after="120"/>
      <w:ind w:left="420" w:leftChars="200"/>
    </w:pPr>
  </w:style>
  <w:style w:type="paragraph" w:styleId="7">
    <w:name w:val="footer"/>
    <w:basedOn w:val="1"/>
    <w:link w:val="17"/>
    <w:qFormat/>
    <w:uiPriority w:val="99"/>
    <w:pPr>
      <w:tabs>
        <w:tab w:val="center" w:pos="4153"/>
        <w:tab w:val="right" w:pos="8306"/>
      </w:tabs>
      <w:snapToGrid w:val="0"/>
      <w:jc w:val="left"/>
    </w:pPr>
    <w:rPr>
      <w:sz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6"/>
    <w:unhideWhenUsed/>
    <w:qFormat/>
    <w:uiPriority w:val="99"/>
    <w:pPr>
      <w:ind w:firstLine="420" w:firstLineChars="200"/>
    </w:pPr>
  </w:style>
  <w:style w:type="table" w:styleId="11">
    <w:name w:val="Table Gri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annotation reference"/>
    <w:unhideWhenUsed/>
    <w:qFormat/>
    <w:uiPriority w:val="99"/>
    <w:rPr>
      <w:sz w:val="21"/>
      <w:szCs w:val="21"/>
    </w:rPr>
  </w:style>
  <w:style w:type="character" w:customStyle="1" w:styleId="14">
    <w:name w:val="页眉 字符"/>
    <w:link w:val="8"/>
    <w:qFormat/>
    <w:uiPriority w:val="0"/>
    <w:rPr>
      <w:rFonts w:ascii="Calibri" w:hAnsi="Calibri"/>
      <w:kern w:val="2"/>
      <w:sz w:val="18"/>
      <w:szCs w:val="18"/>
    </w:rPr>
  </w:style>
  <w:style w:type="paragraph" w:styleId="15">
    <w:name w:val="List Paragraph"/>
    <w:basedOn w:val="1"/>
    <w:qFormat/>
    <w:uiPriority w:val="34"/>
    <w:pPr>
      <w:ind w:firstLine="420" w:firstLineChars="200"/>
    </w:pPr>
  </w:style>
  <w:style w:type="paragraph" w:customStyle="1" w:styleId="16">
    <w:name w:val="列表段落1"/>
    <w:basedOn w:val="1"/>
    <w:qFormat/>
    <w:uiPriority w:val="34"/>
    <w:pPr>
      <w:widowControl/>
      <w:spacing w:after="80" w:line="259" w:lineRule="auto"/>
      <w:ind w:left="720"/>
      <w:contextualSpacing/>
    </w:pPr>
    <w:rPr>
      <w:rFonts w:ascii="Arial" w:hAnsi="Arial"/>
      <w:sz w:val="20"/>
      <w:lang w:val="en-GB"/>
    </w:rPr>
  </w:style>
  <w:style w:type="character" w:customStyle="1" w:styleId="17">
    <w:name w:val="页脚 字符"/>
    <w:basedOn w:val="12"/>
    <w:link w:val="7"/>
    <w:qFormat/>
    <w:uiPriority w:val="99"/>
    <w:rPr>
      <w:rFonts w:ascii="Calibri" w:hAnsi="Calibri"/>
      <w:kern w:val="2"/>
      <w:sz w:val="18"/>
      <w:szCs w:val="24"/>
    </w:rPr>
  </w:style>
  <w:style w:type="paragraph" w:customStyle="1" w:styleId="18">
    <w:name w:val="表格CXH"/>
    <w:basedOn w:val="1"/>
    <w:qFormat/>
    <w:uiPriority w:val="0"/>
    <w:pPr>
      <w:snapToGrid w:val="0"/>
      <w:spacing w:after="0" w:afterLines="0" w:line="276" w:lineRule="auto"/>
    </w:pPr>
    <w:rPr>
      <w:rFonts w:ascii="等线" w:hAnsi="等线" w:eastAsia="宋体" w:cs="Times New Roman"/>
      <w:spacing w:val="0"/>
      <w:kern w:val="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20414</Words>
  <Characters>22300</Characters>
  <Lines>171</Lines>
  <Paragraphs>48</Paragraphs>
  <TotalTime>16</TotalTime>
  <ScaleCrop>false</ScaleCrop>
  <LinksUpToDate>false</LinksUpToDate>
  <CharactersWithSpaces>22525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2023-04-17T10:15:00Z</dcterms:created>
  <dc:creator>HP</dc:creator>
  <cp:lastModifiedBy>孙静霞</cp:lastModifiedBy>
  <dcterms:modified xsi:type="dcterms:W3CDTF">2023-11-04T02:02:44Z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DE752C857D324FFF914EB365FC663CD7_13</vt:lpwstr>
  </property>
</Properties>
</file>