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ascii="方正小标宋简体" w:hAnsi="方正小标宋简体" w:eastAsia="方正小标宋简体" w:cs="方正小标宋简体"/>
          <w:color w:val="000000"/>
          <w:kern w:val="0"/>
          <w:sz w:val="28"/>
          <w:szCs w:val="28"/>
          <w:highlight w:val="none"/>
          <w:lang w:val="en-US" w:eastAsia="zh-CN" w:bidi="ar"/>
        </w:rPr>
      </w:pPr>
      <w:r>
        <w:rPr>
          <w:rFonts w:ascii="方正小标宋简体" w:hAnsi="方正小标宋简体" w:eastAsia="方正小标宋简体" w:cs="方正小标宋简体"/>
          <w:color w:val="000000"/>
          <w:kern w:val="0"/>
          <w:sz w:val="28"/>
          <w:szCs w:val="28"/>
          <w:highlight w:val="none"/>
          <w:lang w:val="en-US" w:eastAsia="zh-CN" w:bidi="ar"/>
        </w:rPr>
        <w:t>第十六届山东省职业院校技能大赛</w:t>
      </w:r>
    </w:p>
    <w:p>
      <w:pPr>
        <w:keepNext w:val="0"/>
        <w:keepLines w:val="0"/>
        <w:widowControl/>
        <w:suppressLineNumbers w:val="0"/>
        <w:jc w:val="center"/>
        <w:rPr>
          <w:sz w:val="28"/>
          <w:szCs w:val="28"/>
          <w:highlight w:val="none"/>
        </w:rPr>
      </w:pPr>
      <w:r>
        <w:rPr>
          <w:rFonts w:hint="eastAsia" w:ascii="方正小标宋简体" w:hAnsi="方正小标宋简体" w:eastAsia="方正小标宋简体" w:cs="方正小标宋简体"/>
          <w:color w:val="000000"/>
          <w:kern w:val="0"/>
          <w:sz w:val="28"/>
          <w:szCs w:val="28"/>
          <w:highlight w:val="none"/>
          <w:lang w:val="en-US" w:eastAsia="zh-CN" w:bidi="ar"/>
        </w:rPr>
        <w:t>高职组“汽车故障检修”赛项规程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sz w:val="24"/>
          <w:szCs w:val="24"/>
          <w:highlight w:val="none"/>
        </w:rPr>
      </w:pPr>
      <w:r>
        <w:rPr>
          <w:rFonts w:ascii="黑体" w:hAnsi="宋体" w:eastAsia="黑体" w:cs="黑体"/>
          <w:color w:val="000000"/>
          <w:kern w:val="0"/>
          <w:sz w:val="24"/>
          <w:szCs w:val="24"/>
          <w:highlight w:val="none"/>
          <w:lang w:val="en-US" w:eastAsia="zh-CN" w:bidi="ar"/>
        </w:rPr>
        <w:t xml:space="preserve">一、赛项名称 </w:t>
      </w:r>
    </w:p>
    <w:p>
      <w:pPr>
        <w:pStyle w:val="5"/>
        <w:spacing w:line="360" w:lineRule="auto"/>
        <w:ind w:firstLine="480" w:firstLineChars="200"/>
        <w:jc w:val="left"/>
        <w:rPr>
          <w:rFonts w:hint="default" w:ascii="仿宋_GB2312" w:hAnsi="仿宋_GB2312" w:eastAsia="仿宋_GB2312" w:cs="仿宋_GB2312"/>
          <w:bCs/>
          <w:sz w:val="24"/>
          <w:szCs w:val="24"/>
          <w:highlight w:val="none"/>
          <w:lang w:val="en-US" w:eastAsia="zh-CN"/>
        </w:rPr>
      </w:pPr>
      <w:r>
        <w:rPr>
          <w:rFonts w:hint="eastAsia" w:ascii="仿宋_GB2312" w:hAnsi="仿宋_GB2312" w:eastAsia="仿宋_GB2312" w:cs="仿宋_GB2312"/>
          <w:bCs/>
          <w:sz w:val="24"/>
          <w:szCs w:val="24"/>
          <w:highlight w:val="none"/>
        </w:rPr>
        <w:t>赛项</w:t>
      </w:r>
      <w:bookmarkStart w:id="0" w:name="_Hlk3816826"/>
      <w:r>
        <w:rPr>
          <w:rFonts w:hint="eastAsia" w:ascii="仿宋_GB2312" w:hAnsi="仿宋_GB2312" w:eastAsia="仿宋_GB2312" w:cs="仿宋_GB2312"/>
          <w:bCs/>
          <w:sz w:val="24"/>
          <w:szCs w:val="24"/>
          <w:highlight w:val="none"/>
        </w:rPr>
        <w:t>名称：</w:t>
      </w:r>
      <w:bookmarkEnd w:id="0"/>
      <w:r>
        <w:rPr>
          <w:rFonts w:hint="eastAsia" w:ascii="仿宋_GB2312" w:hAnsi="仿宋_GB2312" w:eastAsia="仿宋_GB2312" w:cs="仿宋_GB2312"/>
          <w:bCs/>
          <w:sz w:val="24"/>
          <w:szCs w:val="24"/>
          <w:highlight w:val="none"/>
        </w:rPr>
        <w:t>汽车</w:t>
      </w:r>
      <w:r>
        <w:rPr>
          <w:rFonts w:hint="eastAsia" w:ascii="仿宋_GB2312" w:hAnsi="仿宋_GB2312" w:eastAsia="仿宋_GB2312" w:cs="仿宋_GB2312"/>
          <w:bCs/>
          <w:sz w:val="24"/>
          <w:szCs w:val="24"/>
          <w:highlight w:val="none"/>
          <w:lang w:val="en-US" w:eastAsia="zh-CN"/>
        </w:rPr>
        <w:t>故障检修</w:t>
      </w:r>
    </w:p>
    <w:p>
      <w:pPr>
        <w:pStyle w:val="5"/>
        <w:spacing w:line="360" w:lineRule="auto"/>
        <w:ind w:firstLine="480" w:firstLineChars="200"/>
        <w:jc w:val="left"/>
        <w:rPr>
          <w:rFonts w:hint="eastAsia" w:ascii="仿宋_GB2312" w:hAnsi="仿宋_GB2312" w:eastAsia="仿宋_GB2312" w:cs="仿宋_GB2312"/>
          <w:bCs/>
          <w:sz w:val="24"/>
          <w:szCs w:val="24"/>
          <w:highlight w:val="none"/>
          <w:lang w:eastAsia="zh-CN"/>
        </w:rPr>
      </w:pPr>
      <w:r>
        <w:rPr>
          <w:rFonts w:hint="eastAsia" w:ascii="仿宋_GB2312" w:hAnsi="仿宋_GB2312" w:eastAsia="仿宋_GB2312" w:cs="仿宋_GB2312"/>
          <w:bCs/>
          <w:sz w:val="24"/>
          <w:szCs w:val="24"/>
          <w:highlight w:val="none"/>
        </w:rPr>
        <w:t>赛项组别：高职组</w:t>
      </w:r>
      <w:r>
        <w:rPr>
          <w:rFonts w:hint="eastAsia" w:ascii="仿宋_GB2312" w:hAnsi="仿宋_GB2312" w:eastAsia="仿宋_GB2312" w:cs="仿宋_GB2312"/>
          <w:bCs/>
          <w:sz w:val="24"/>
          <w:szCs w:val="24"/>
          <w:highlight w:val="none"/>
          <w:lang w:eastAsia="zh-CN"/>
        </w:rPr>
        <w:t>（</w:t>
      </w:r>
      <w:r>
        <w:rPr>
          <w:rFonts w:hint="eastAsia" w:ascii="仿宋_GB2312" w:hAnsi="仿宋_GB2312" w:eastAsia="仿宋_GB2312" w:cs="仿宋_GB2312"/>
          <w:bCs/>
          <w:sz w:val="24"/>
          <w:szCs w:val="24"/>
          <w:highlight w:val="none"/>
          <w:lang w:val="en-US" w:eastAsia="zh-CN"/>
        </w:rPr>
        <w:t>学生赛</w:t>
      </w:r>
      <w:r>
        <w:rPr>
          <w:rFonts w:hint="eastAsia" w:ascii="仿宋_GB2312" w:hAnsi="仿宋_GB2312" w:eastAsia="仿宋_GB2312" w:cs="仿宋_GB2312"/>
          <w:bCs/>
          <w:sz w:val="24"/>
          <w:szCs w:val="24"/>
          <w:highlight w:val="none"/>
          <w:lang w:eastAsia="zh-CN"/>
        </w:rPr>
        <w:t>）</w:t>
      </w:r>
    </w:p>
    <w:p>
      <w:pPr>
        <w:keepNext w:val="0"/>
        <w:keepLines w:val="0"/>
        <w:widowControl/>
        <w:suppressLineNumbers w:val="0"/>
        <w:spacing w:line="360" w:lineRule="auto"/>
        <w:ind w:firstLine="480"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Cs/>
          <w:sz w:val="24"/>
          <w:szCs w:val="24"/>
          <w:highlight w:val="none"/>
          <w:lang w:val="en-US" w:eastAsia="zh-CN"/>
        </w:rPr>
        <w:t>专业大类</w:t>
      </w:r>
      <w:r>
        <w:rPr>
          <w:rFonts w:hint="eastAsia" w:ascii="仿宋_GB2312" w:hAnsi="仿宋_GB2312" w:eastAsia="仿宋_GB2312" w:cs="仿宋_GB2312"/>
          <w:bCs/>
          <w:sz w:val="24"/>
          <w:szCs w:val="24"/>
          <w:highlight w:val="none"/>
        </w:rPr>
        <w:t>：</w:t>
      </w:r>
      <w:r>
        <w:rPr>
          <w:rFonts w:hint="eastAsia" w:ascii="仿宋_GB2312" w:hAnsi="仿宋_GB2312" w:eastAsia="仿宋_GB2312" w:cs="仿宋_GB2312"/>
          <w:bCs/>
          <w:sz w:val="24"/>
          <w:szCs w:val="24"/>
          <w:highlight w:val="none"/>
          <w:lang w:val="en-US" w:eastAsia="zh-CN"/>
        </w:rPr>
        <w:t>交通运输</w:t>
      </w:r>
      <w:r>
        <w:rPr>
          <w:rFonts w:hint="eastAsia" w:ascii="仿宋_GB2312" w:hAnsi="仿宋_GB2312" w:eastAsia="仿宋_GB2312" w:cs="仿宋_GB2312"/>
          <w:bCs/>
          <w:sz w:val="24"/>
          <w:szCs w:val="24"/>
          <w:highlight w:val="none"/>
        </w:rPr>
        <w:t>大类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二、竞赛目的</w:t>
      </w:r>
    </w:p>
    <w:p>
      <w:pPr>
        <w:pStyle w:val="5"/>
        <w:spacing w:line="360" w:lineRule="auto"/>
        <w:ind w:firstLine="480" w:firstLineChars="200"/>
        <w:jc w:val="left"/>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为贯彻党的二十大“加快建设交通强国”的决策部署，推动落实《国家职业教育改革实施方案》，加快职业教育制度创新，落实立德树人根本任务，培养具备“行业特质、爱国情怀、中国精神、国际视野”的综合型技术技能人才、能工巧匠、大国工匠。</w:t>
      </w:r>
    </w:p>
    <w:p>
      <w:pPr>
        <w:pStyle w:val="5"/>
        <w:spacing w:line="360" w:lineRule="auto"/>
        <w:ind w:firstLine="480" w:firstLineChars="200"/>
        <w:jc w:val="left"/>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本赛项结合《新能源汽车产业发展规划（2021—2035年）》的目标要求，彰显中国职教特色，优化企业参与机制，服务汽车经济社会“购买管理”向“使用管理”转化，对接汽车“新四化”、新技术、新工艺、新能源，融入新的科技成果和企业技术，推动职业教育提档升级，办成国际水准的高水平技能赛事。</w:t>
      </w:r>
    </w:p>
    <w:p>
      <w:pPr>
        <w:pStyle w:val="5"/>
        <w:spacing w:line="360" w:lineRule="auto"/>
        <w:ind w:firstLine="480" w:firstLineChars="200"/>
        <w:jc w:val="left"/>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本赛项紧紧围绕职业教育国家教学标准和企业真实工作任务要求，在考查选手汽车电控系统知识积累基础上，重点考查参赛队安全生产、组织管理、解决现场问题能力等职业技能与综合素养。通过“汽车故障检修”竞赛，检验高职院校汽车技术类专业（群）的教育教学成果，助推具有工匠精神的复合型技术技能人才的培养，达成产教协同育人目标，引领专业建设发展，加快三教改革创新的步伐。同时展示参赛队精湛的技艺、信息素养、创新精神等良好的精神风貌，向社会宣传职业教育成就，促进产教研用一体化，促进职业教育高水平高质量发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三、竞赛内容</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本赛项聚焦燃油汽车、电动汽车的电控系统故障检修关键核心技术，结合行业标准和岗位群要求，涵盖“发动机、车身、底盘、电动汽车动力系统”等电控系统的故障检修、汽车常用工量具使用、汽车专用检测仪器设备使用等典型工作任务，考查选手对“汽车结构、电控技术和车载网络技术”的知识掌握、使用现代汽车检测仪器设备进行故障检修的技能，以及计划组织、团队协作、安全防护、操作规范、诚实守信、绿色环保等职业素养。同时鼓励创新性的科学诊断思维，不断探索汽车电控系统故障检修技术。</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（一）竞赛模块组成</w:t>
      </w:r>
    </w:p>
    <w:p>
      <w:pPr>
        <w:keepNext w:val="0"/>
        <w:keepLines w:val="0"/>
        <w:widowControl/>
        <w:suppressLineNumbers w:val="0"/>
        <w:ind w:firstLine="480" w:firstLineChars="200"/>
        <w:jc w:val="left"/>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kern w:val="0"/>
          <w:sz w:val="24"/>
          <w:szCs w:val="24"/>
          <w:highlight w:val="none"/>
          <w:lang w:val="en-US" w:eastAsia="zh-CN" w:bidi="ar"/>
        </w:rPr>
        <w:t>竞赛模块分2个模块、4个任务，如表1</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所示。</w:t>
      </w:r>
    </w:p>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黑体"/>
          <w:color w:val="000000" w:themeColor="text1"/>
          <w:sz w:val="24"/>
          <w:highlight w:val="none"/>
          <w14:textFill>
            <w14:solidFill>
              <w14:schemeClr w14:val="tx1"/>
            </w14:solidFill>
          </w14:textFill>
        </w:rPr>
        <w:t>表1 竞赛模块组成</w:t>
      </w:r>
    </w:p>
    <w:tbl>
      <w:tblPr>
        <w:tblStyle w:val="10"/>
        <w:tblW w:w="83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33"/>
        <w:gridCol w:w="1304"/>
        <w:gridCol w:w="1305"/>
        <w:gridCol w:w="1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433"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模块任务</w:t>
            </w:r>
          </w:p>
        </w:tc>
        <w:tc>
          <w:tcPr>
            <w:tcW w:w="1304"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比赛时长</w:t>
            </w:r>
          </w:p>
        </w:tc>
        <w:tc>
          <w:tcPr>
            <w:tcW w:w="1305"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分值</w:t>
            </w:r>
          </w:p>
        </w:tc>
        <w:tc>
          <w:tcPr>
            <w:tcW w:w="1305"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433"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模块A</w:t>
            </w:r>
            <w:r>
              <w:rPr>
                <w:rFonts w:ascii="Times New Roman" w:hAnsi="Times New Roman" w:eastAsia="仿宋_GB2312"/>
                <w:color w:val="000000" w:themeColor="text1"/>
                <w:szCs w:val="21"/>
                <w:highlight w:val="none"/>
                <w14:textFill>
                  <w14:solidFill>
                    <w14:schemeClr w14:val="tx1"/>
                  </w14:solidFill>
                </w14:textFill>
              </w:rPr>
              <w:t>汽车动力及底盘电控系统故障检修</w:t>
            </w:r>
          </w:p>
        </w:tc>
        <w:tc>
          <w:tcPr>
            <w:tcW w:w="1304"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70</w:t>
            </w:r>
            <w:r>
              <w:rPr>
                <w:rFonts w:ascii="Times New Roman" w:hAnsi="Times New Roman" w:eastAsia="仿宋_GB2312"/>
                <w:bCs/>
                <w:color w:val="000000" w:themeColor="text1"/>
                <w:szCs w:val="21"/>
                <w:highlight w:val="none"/>
                <w14:textFill>
                  <w14:solidFill>
                    <w14:schemeClr w14:val="tx1"/>
                  </w14:solidFill>
                </w14:textFill>
              </w:rPr>
              <w:t>min</w:t>
            </w:r>
          </w:p>
        </w:tc>
        <w:tc>
          <w:tcPr>
            <w:tcW w:w="1305"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100</w:t>
            </w:r>
          </w:p>
        </w:tc>
        <w:tc>
          <w:tcPr>
            <w:tcW w:w="1305" w:type="dxa"/>
            <w:vMerge w:val="restart"/>
            <w:vAlign w:val="center"/>
          </w:tcPr>
          <w:p>
            <w:pPr>
              <w:adjustRightInd w:val="0"/>
              <w:snapToGrid w:val="0"/>
              <w:spacing w:line="360" w:lineRule="auto"/>
              <w:ind w:right="210" w:rightChars="100"/>
              <w:jc w:val="center"/>
              <w:rPr>
                <w:rFonts w:ascii="Times New Roman" w:hAnsi="Times New Roman" w:eastAsia="仿宋_GB2312"/>
                <w:bCs/>
                <w:color w:val="auto"/>
                <w:szCs w:val="21"/>
                <w:highlight w:val="none"/>
              </w:rPr>
            </w:pPr>
            <w:r>
              <w:rPr>
                <w:rFonts w:hint="eastAsia" w:ascii="Times New Roman" w:hAnsi="Times New Roman" w:eastAsia="仿宋_GB2312"/>
                <w:bCs/>
                <w:color w:val="auto"/>
                <w:szCs w:val="21"/>
                <w:highlight w:val="none"/>
                <w:lang w:val="en-US" w:eastAsia="zh-CN"/>
              </w:rPr>
              <w:t>50</w:t>
            </w:r>
            <w:r>
              <w:rPr>
                <w:rFonts w:ascii="Times New Roman" w:hAnsi="Times New Roman" w:eastAsia="仿宋_GB2312"/>
                <w:bCs/>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4433" w:type="dxa"/>
            <w:tcBorders>
              <w:top w:val="single" w:color="auto" w:sz="4" w:space="0"/>
            </w:tcBorders>
            <w:vAlign w:val="center"/>
          </w:tcPr>
          <w:p>
            <w:pPr>
              <w:adjustRightInd w:val="0"/>
              <w:snapToGrid w:val="0"/>
              <w:spacing w:line="360" w:lineRule="auto"/>
              <w:ind w:right="210" w:rightChars="100" w:firstLine="630" w:firstLineChars="3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任务一汽车动力控制系统故障检修</w:t>
            </w:r>
          </w:p>
        </w:tc>
        <w:tc>
          <w:tcPr>
            <w:tcW w:w="130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4433" w:type="dxa"/>
            <w:tcBorders>
              <w:top w:val="single" w:color="auto" w:sz="4" w:space="0"/>
            </w:tcBorders>
            <w:vAlign w:val="center"/>
          </w:tcPr>
          <w:p>
            <w:pPr>
              <w:adjustRightInd w:val="0"/>
              <w:snapToGrid w:val="0"/>
              <w:spacing w:line="360" w:lineRule="auto"/>
              <w:ind w:right="210" w:rightChars="100" w:firstLine="630" w:firstLineChars="3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任务二汽车底盘电控系统故障检修</w:t>
            </w:r>
          </w:p>
        </w:tc>
        <w:tc>
          <w:tcPr>
            <w:tcW w:w="130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4433"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模块B</w:t>
            </w:r>
            <w:r>
              <w:rPr>
                <w:rFonts w:ascii="Times New Roman" w:hAnsi="Times New Roman" w:eastAsia="仿宋_GB2312"/>
                <w:color w:val="000000" w:themeColor="text1"/>
                <w:szCs w:val="21"/>
                <w:highlight w:val="none"/>
                <w14:textFill>
                  <w14:solidFill>
                    <w14:schemeClr w14:val="tx1"/>
                  </w14:solidFill>
                </w14:textFill>
              </w:rPr>
              <w:t>发动机及车身电控系统故障检修</w:t>
            </w:r>
          </w:p>
        </w:tc>
        <w:tc>
          <w:tcPr>
            <w:tcW w:w="1304"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70</w:t>
            </w:r>
            <w:r>
              <w:rPr>
                <w:rFonts w:ascii="Times New Roman" w:hAnsi="Times New Roman" w:eastAsia="仿宋_GB2312"/>
                <w:bCs/>
                <w:color w:val="000000" w:themeColor="text1"/>
                <w:szCs w:val="21"/>
                <w:highlight w:val="none"/>
                <w14:textFill>
                  <w14:solidFill>
                    <w14:schemeClr w14:val="tx1"/>
                  </w14:solidFill>
                </w14:textFill>
              </w:rPr>
              <w:t>min</w:t>
            </w:r>
          </w:p>
        </w:tc>
        <w:tc>
          <w:tcPr>
            <w:tcW w:w="1305"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100</w:t>
            </w:r>
          </w:p>
        </w:tc>
        <w:tc>
          <w:tcPr>
            <w:tcW w:w="1305" w:type="dxa"/>
            <w:vMerge w:val="restart"/>
            <w:vAlign w:val="center"/>
          </w:tcPr>
          <w:p>
            <w:pPr>
              <w:adjustRightInd w:val="0"/>
              <w:snapToGrid w:val="0"/>
              <w:spacing w:line="360" w:lineRule="auto"/>
              <w:ind w:right="210" w:rightChars="100"/>
              <w:jc w:val="center"/>
              <w:rPr>
                <w:rFonts w:ascii="Times New Roman" w:hAnsi="Times New Roman" w:eastAsia="仿宋_GB2312"/>
                <w:bCs/>
                <w:color w:val="auto"/>
                <w:szCs w:val="21"/>
                <w:highlight w:val="none"/>
              </w:rPr>
            </w:pPr>
            <w:r>
              <w:rPr>
                <w:rFonts w:hint="eastAsia" w:ascii="Times New Roman" w:hAnsi="Times New Roman" w:eastAsia="仿宋_GB2312"/>
                <w:bCs/>
                <w:color w:val="auto"/>
                <w:szCs w:val="21"/>
                <w:highlight w:val="none"/>
                <w:lang w:val="en-US" w:eastAsia="zh-CN"/>
              </w:rPr>
              <w:t>5</w:t>
            </w:r>
            <w:r>
              <w:rPr>
                <w:rFonts w:ascii="Times New Roman" w:hAnsi="Times New Roman" w:eastAsia="仿宋_GB2312"/>
                <w:bCs/>
                <w:color w:val="auto"/>
                <w:szCs w:val="21"/>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jc w:val="center"/>
        </w:trPr>
        <w:tc>
          <w:tcPr>
            <w:tcW w:w="4433" w:type="dxa"/>
            <w:tcBorders>
              <w:top w:val="single" w:color="auto" w:sz="4" w:space="0"/>
            </w:tcBorders>
            <w:vAlign w:val="center"/>
          </w:tcPr>
          <w:p>
            <w:pPr>
              <w:adjustRightInd w:val="0"/>
              <w:snapToGrid w:val="0"/>
              <w:spacing w:line="360" w:lineRule="auto"/>
              <w:ind w:right="210" w:rightChars="100" w:firstLine="630" w:firstLineChars="3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任务三发动机电控系统故障检修</w:t>
            </w:r>
          </w:p>
        </w:tc>
        <w:tc>
          <w:tcPr>
            <w:tcW w:w="130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jc w:val="center"/>
        </w:trPr>
        <w:tc>
          <w:tcPr>
            <w:tcW w:w="4433" w:type="dxa"/>
            <w:tcBorders>
              <w:top w:val="single" w:color="auto" w:sz="4" w:space="0"/>
              <w:bottom w:val="single" w:color="auto" w:sz="4" w:space="0"/>
            </w:tcBorders>
            <w:vAlign w:val="center"/>
          </w:tcPr>
          <w:p>
            <w:pPr>
              <w:adjustRightInd w:val="0"/>
              <w:snapToGrid w:val="0"/>
              <w:spacing w:line="360" w:lineRule="auto"/>
              <w:ind w:right="210" w:rightChars="100" w:firstLine="630" w:firstLineChars="3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任务四车身电控系统故障检修</w:t>
            </w:r>
          </w:p>
        </w:tc>
        <w:tc>
          <w:tcPr>
            <w:tcW w:w="130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c>
          <w:tcPr>
            <w:tcW w:w="1305"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jc w:val="center"/>
        </w:trPr>
        <w:tc>
          <w:tcPr>
            <w:tcW w:w="8347" w:type="dxa"/>
            <w:gridSpan w:val="4"/>
            <w:tcBorders>
              <w:top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采用实操考核形式，理论考核融入实操考核中，同时应填写选手报告单</w:t>
            </w:r>
          </w:p>
        </w:tc>
      </w:tr>
    </w:tbl>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（二）作业要求</w:t>
      </w:r>
    </w:p>
    <w:p>
      <w:pPr>
        <w:spacing w:line="360" w:lineRule="auto"/>
        <w:ind w:firstLine="480" w:firstLineChars="200"/>
        <w:rPr>
          <w:rFonts w:ascii="Times New Roman" w:hAnsi="Times New Roman" w:eastAsia="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要求参赛队在70分钟内，以小组作业方式，按照国家标准、生产制造厂家技术规范，运用控制逻辑和科学的诊断思维，完成汽车电控系统故障检修作业。要求熟悉车辆结构、熟练查阅维修资料和电路图、规范使用工量具和仪器设备、准确测量技术参数、判断故障点、正确记录作业过程和测试数据、准确完成作业操作。包括前期准备、安全检查、症状确认与分析、外观检查、仪器连接、故障码和数据流读取、高压断电、非带电状态检测验证、绝缘（漏电）检测、元器件测量、故障点确认和排除、5S 管理等。</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 xml:space="preserve"> </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（三）考核要点</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1.模块A：汽车动力及底盘电控系统故障检修</w:t>
      </w:r>
    </w:p>
    <w:p>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本模块在纯电动汽车上完成。</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任务一：汽车动力控制系统故障检修</w:t>
      </w:r>
    </w:p>
    <w:p>
      <w:pPr>
        <w:spacing w:line="360" w:lineRule="auto"/>
        <w:ind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针对汽车动力控制系统，围绕“三电”系统的低压上电异常、高压上电异常、车辆无法正常行驶、车辆无法（交流）充电等故障，规范完成故障检修。</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任务二：汽车底盘电控系统故障检修</w:t>
      </w:r>
    </w:p>
    <w:p>
      <w:pPr>
        <w:spacing w:line="360" w:lineRule="auto"/>
        <w:ind w:firstLine="480" w:firstLineChars="200"/>
        <w:rPr>
          <w:rFonts w:hint="eastAsia" w:ascii="仿宋_GB2312" w:hAnsi="仿宋_GB2312" w:eastAsia="仿宋_GB2312" w:cs="仿宋_GB2312"/>
          <w:color w:val="000000" w:themeColor="text1"/>
          <w:sz w:val="24"/>
          <w:szCs w:val="24"/>
          <w:highlight w:val="none"/>
          <w:lang w:val="en-US"/>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围绕电动转向、防抱死制动、电子驻车、网络系统等底盘电控系统故障，规范完成故障检修。</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2.模块B：发动机和车身电控系统故障检修</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本模块在燃油车上完成。</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任务三：发动机电控系统故障检修</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围绕汽车发动机无法起动、发动机运行不良等故障，规范完成故障检修。</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任务四：车身电控系统故障检修</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 xml:space="preserve">围绕电源管理系统、进入及许可系统、舒适系统、车身附件电路、灯光控制系统、仪表与警告装置、车载网络系统等共性关联性或单一性故障，规范完成故障检修。 </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3.检修规范</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通过逻辑分析，资料检索及电路图，使用工量具、万用表、故障诊断仪、示波器等诊断检测设备，检测分析故障, 安全、合理、规范地完成故障检修。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四、竞赛方式</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竞赛以线下比赛形式进行，竞赛组队方式为团体赛。每个参赛队</w:t>
      </w:r>
      <w:r>
        <w:rPr>
          <w:rFonts w:hint="default"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名选手组成，不限性别。参赛选手须为</w:t>
      </w:r>
      <w:r>
        <w:rPr>
          <w:rFonts w:hint="default"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2023</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年度高等职业学校专科、本科全日制在籍学生（以报名时的学籍信息为准）。五年制高职学生报名参赛的</w:t>
      </w:r>
      <w:r>
        <w:rPr>
          <w:rFonts w:hint="default"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 xml:space="preserve">, </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 xml:space="preserve">须为高职段四、五学期全日制在籍学生。凡在往届山东省和全国职业院校技能大赛中获一等奖的选手，不能再参加同一项目同一组别的比赛。 </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同一学校参赛队不超过</w:t>
      </w:r>
      <w:r>
        <w:rPr>
          <w:rFonts w:hint="default"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支，不得跨校组队；每名选手限报</w:t>
      </w:r>
      <w:r>
        <w:rPr>
          <w:rFonts w:hint="default"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 xml:space="preserve">名指导教师，指导教师须为本校专兼职教师。 </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 xml:space="preserve">以正式比赛报名通知为准。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五、竞赛流程</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正式比赛时间</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天，竞赛日程如表2,比赛场次根据最后报名参赛队数量调整。</w:t>
      </w:r>
    </w:p>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黑体"/>
          <w:color w:val="000000" w:themeColor="text1"/>
          <w:sz w:val="24"/>
          <w:highlight w:val="none"/>
          <w14:textFill>
            <w14:solidFill>
              <w14:schemeClr w14:val="tx1"/>
            </w14:solidFill>
          </w14:textFill>
        </w:rPr>
        <w:t>表2 竞赛日程</w:t>
      </w:r>
    </w:p>
    <w:tbl>
      <w:tblPr>
        <w:tblStyle w:val="10"/>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499"/>
        <w:gridCol w:w="4915"/>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Align w:val="center"/>
          </w:tcPr>
          <w:p>
            <w:pPr>
              <w:jc w:val="center"/>
              <w:rPr>
                <w:rFonts w:ascii="Times New Roman" w:hAnsi="Times New Roman" w:eastAsia="仿宋_GB2312"/>
                <w:b/>
                <w:bCs/>
                <w:color w:val="000000" w:themeColor="text1"/>
                <w:szCs w:val="21"/>
                <w:highlight w:val="none"/>
                <w14:textFill>
                  <w14:solidFill>
                    <w14:schemeClr w14:val="tx1"/>
                  </w14:solidFill>
                </w14:textFill>
              </w:rPr>
            </w:pPr>
            <w:r>
              <w:rPr>
                <w:rFonts w:ascii="Times New Roman" w:hAnsi="Times New Roman" w:eastAsia="仿宋_GB2312"/>
                <w:b/>
                <w:bCs/>
                <w:color w:val="000000" w:themeColor="text1"/>
                <w:szCs w:val="21"/>
                <w:highlight w:val="none"/>
                <w14:textFill>
                  <w14:solidFill>
                    <w14:schemeClr w14:val="tx1"/>
                  </w14:solidFill>
                </w14:textFill>
              </w:rPr>
              <w:t>日程</w:t>
            </w:r>
          </w:p>
        </w:tc>
        <w:tc>
          <w:tcPr>
            <w:tcW w:w="1499" w:type="dxa"/>
            <w:vAlign w:val="center"/>
          </w:tcPr>
          <w:p>
            <w:pPr>
              <w:jc w:val="left"/>
              <w:rPr>
                <w:rFonts w:ascii="Times New Roman" w:hAnsi="Times New Roman" w:eastAsia="仿宋_GB2312"/>
                <w:b/>
                <w:bCs/>
                <w:color w:val="000000" w:themeColor="text1"/>
                <w:szCs w:val="21"/>
                <w:highlight w:val="none"/>
                <w14:textFill>
                  <w14:solidFill>
                    <w14:schemeClr w14:val="tx1"/>
                  </w14:solidFill>
                </w14:textFill>
              </w:rPr>
            </w:pPr>
            <w:r>
              <w:rPr>
                <w:rFonts w:ascii="Times New Roman" w:hAnsi="Times New Roman" w:eastAsia="仿宋_GB2312"/>
                <w:b/>
                <w:bCs/>
                <w:color w:val="000000" w:themeColor="text1"/>
                <w:szCs w:val="21"/>
                <w:highlight w:val="none"/>
                <w14:textFill>
                  <w14:solidFill>
                    <w14:schemeClr w14:val="tx1"/>
                  </w14:solidFill>
                </w14:textFill>
              </w:rPr>
              <w:t>时间</w:t>
            </w:r>
          </w:p>
        </w:tc>
        <w:tc>
          <w:tcPr>
            <w:tcW w:w="4915" w:type="dxa"/>
            <w:vAlign w:val="center"/>
          </w:tcPr>
          <w:p>
            <w:pPr>
              <w:jc w:val="center"/>
              <w:rPr>
                <w:rFonts w:ascii="Times New Roman" w:hAnsi="Times New Roman" w:eastAsia="仿宋_GB2312"/>
                <w:b/>
                <w:bCs/>
                <w:color w:val="000000" w:themeColor="text1"/>
                <w:szCs w:val="21"/>
                <w:highlight w:val="none"/>
                <w14:textFill>
                  <w14:solidFill>
                    <w14:schemeClr w14:val="tx1"/>
                  </w14:solidFill>
                </w14:textFill>
              </w:rPr>
            </w:pPr>
            <w:r>
              <w:rPr>
                <w:rFonts w:ascii="Times New Roman" w:hAnsi="Times New Roman" w:eastAsia="仿宋_GB2312"/>
                <w:b/>
                <w:bCs/>
                <w:color w:val="000000" w:themeColor="text1"/>
                <w:szCs w:val="21"/>
                <w:highlight w:val="none"/>
                <w14:textFill>
                  <w14:solidFill>
                    <w14:schemeClr w14:val="tx1"/>
                  </w14:solidFill>
                </w14:textFill>
              </w:rPr>
              <w:t>内容</w:t>
            </w:r>
          </w:p>
        </w:tc>
        <w:tc>
          <w:tcPr>
            <w:tcW w:w="1332" w:type="dxa"/>
            <w:vAlign w:val="center"/>
          </w:tcPr>
          <w:p>
            <w:pPr>
              <w:jc w:val="center"/>
              <w:rPr>
                <w:rFonts w:ascii="Times New Roman" w:hAnsi="Times New Roman" w:eastAsia="仿宋_GB2312"/>
                <w:b/>
                <w:bCs/>
                <w:color w:val="000000" w:themeColor="text1"/>
                <w:szCs w:val="21"/>
                <w:highlight w:val="none"/>
                <w14:textFill>
                  <w14:solidFill>
                    <w14:schemeClr w14:val="tx1"/>
                  </w14:solidFill>
                </w14:textFill>
              </w:rPr>
            </w:pPr>
            <w:r>
              <w:rPr>
                <w:rFonts w:ascii="Times New Roman" w:hAnsi="Times New Roman" w:eastAsia="仿宋_GB2312"/>
                <w:b/>
                <w:bCs/>
                <w:color w:val="000000" w:themeColor="text1"/>
                <w:szCs w:val="21"/>
                <w:highlight w:val="none"/>
                <w14:textFill>
                  <w14:solidFill>
                    <w14:schemeClr w14:val="tx1"/>
                  </w14:solidFill>
                </w14:textFill>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restart"/>
            <w:tcBorders>
              <w:bottom w:val="single" w:color="auto" w:sz="4" w:space="0"/>
            </w:tcBorders>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第1天</w:t>
            </w:r>
          </w:p>
        </w:tc>
        <w:tc>
          <w:tcPr>
            <w:tcW w:w="1499" w:type="dxa"/>
            <w:tcBorders>
              <w:bottom w:val="single" w:color="auto" w:sz="4" w:space="0"/>
            </w:tcBorders>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8:30～11:30</w:t>
            </w:r>
          </w:p>
        </w:tc>
        <w:tc>
          <w:tcPr>
            <w:tcW w:w="4915" w:type="dxa"/>
            <w:tcBorders>
              <w:bottom w:val="single" w:color="auto" w:sz="4" w:space="0"/>
            </w:tcBorders>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参赛队报到</w:t>
            </w:r>
          </w:p>
        </w:tc>
        <w:tc>
          <w:tcPr>
            <w:tcW w:w="1332" w:type="dxa"/>
            <w:tcBorders>
              <w:bottom w:val="single" w:color="auto" w:sz="4" w:space="0"/>
            </w:tcBorders>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报到现场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14:00～15:30</w:t>
            </w:r>
          </w:p>
        </w:tc>
        <w:tc>
          <w:tcPr>
            <w:tcW w:w="4915"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参赛选手熟悉比赛场地</w:t>
            </w:r>
          </w:p>
        </w:tc>
        <w:tc>
          <w:tcPr>
            <w:tcW w:w="1332" w:type="dxa"/>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16:00～17:00</w:t>
            </w:r>
          </w:p>
        </w:tc>
        <w:tc>
          <w:tcPr>
            <w:tcW w:w="4915"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领队说明会（抽签顺序号）</w:t>
            </w:r>
          </w:p>
        </w:tc>
        <w:tc>
          <w:tcPr>
            <w:tcW w:w="1332" w:type="dxa"/>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restart"/>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第2天</w:t>
            </w:r>
          </w:p>
        </w:tc>
        <w:tc>
          <w:tcPr>
            <w:tcW w:w="1499"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7:00～8:00</w:t>
            </w:r>
          </w:p>
        </w:tc>
        <w:tc>
          <w:tcPr>
            <w:tcW w:w="4915"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参赛队检录一次加密（确定身份加密号）</w:t>
            </w:r>
          </w:p>
        </w:tc>
        <w:tc>
          <w:tcPr>
            <w:tcW w:w="1332" w:type="dxa"/>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候考室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7:00～8:00</w:t>
            </w:r>
          </w:p>
        </w:tc>
        <w:tc>
          <w:tcPr>
            <w:tcW w:w="4915" w:type="dxa"/>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参赛队检录二次加密（确定比赛工位）</w:t>
            </w:r>
          </w:p>
        </w:tc>
        <w:tc>
          <w:tcPr>
            <w:tcW w:w="1332" w:type="dxa"/>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备考室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adjustRightInd w:val="0"/>
              <w:snapToGrid w:val="0"/>
              <w:spacing w:line="240" w:lineRule="exac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8:00～1</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1</w:t>
            </w:r>
            <w:r>
              <w:rPr>
                <w:rFonts w:hint="eastAsia" w:ascii="Times New Roman" w:hAnsi="Times New Roman" w:eastAsia="仿宋_GB2312"/>
                <w:color w:val="000000" w:themeColor="text1"/>
                <w:szCs w:val="21"/>
                <w:highlight w:val="none"/>
                <w14:textFill>
                  <w14:solidFill>
                    <w14:schemeClr w14:val="tx1"/>
                  </w14:solidFill>
                </w14:textFill>
              </w:rPr>
              <w:t>:</w:t>
            </w:r>
            <w:r>
              <w:rPr>
                <w:rFonts w:ascii="Times New Roman" w:hAnsi="Times New Roman" w:eastAsia="仿宋_GB2312"/>
                <w:color w:val="000000" w:themeColor="text1"/>
                <w:szCs w:val="21"/>
                <w:highlight w:val="none"/>
                <w14:textFill>
                  <w14:solidFill>
                    <w14:schemeClr w14:val="tx1"/>
                  </w14:solidFill>
                </w14:textFill>
              </w:rPr>
              <w:t>00</w:t>
            </w:r>
          </w:p>
        </w:tc>
        <w:tc>
          <w:tcPr>
            <w:tcW w:w="4915" w:type="dxa"/>
            <w:vAlign w:val="center"/>
          </w:tcPr>
          <w:p>
            <w:pPr>
              <w:adjustRightInd w:val="0"/>
              <w:snapToGrid w:val="0"/>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模块A</w:t>
            </w:r>
            <w:r>
              <w:rPr>
                <w:rFonts w:hint="eastAsia" w:ascii="Times New Roman" w:hAnsi="Times New Roman" w:eastAsia="仿宋_GB2312"/>
                <w:color w:val="000000" w:themeColor="text1"/>
                <w:szCs w:val="21"/>
                <w:highlight w:val="none"/>
                <w:lang w:eastAsia="zh-CN"/>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B</w:t>
            </w:r>
            <w:r>
              <w:rPr>
                <w:rFonts w:ascii="Times New Roman" w:hAnsi="Times New Roman" w:eastAsia="仿宋_GB2312"/>
                <w:color w:val="000000" w:themeColor="text1"/>
                <w:szCs w:val="21"/>
                <w:highlight w:val="none"/>
                <w14:textFill>
                  <w14:solidFill>
                    <w14:schemeClr w14:val="tx1"/>
                  </w14:solidFill>
                </w14:textFill>
              </w:rPr>
              <w:t>（第1轮）</w:t>
            </w:r>
          </w:p>
        </w:tc>
        <w:tc>
          <w:tcPr>
            <w:tcW w:w="1332" w:type="dxa"/>
            <w:vMerge w:val="restart"/>
            <w:vAlign w:val="center"/>
          </w:tcPr>
          <w:p>
            <w:pPr>
              <w:adjustRightInd w:val="0"/>
              <w:snapToGrid w:val="0"/>
              <w:jc w:val="center"/>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adjustRightInd w:val="0"/>
              <w:snapToGrid w:val="0"/>
              <w:spacing w:line="240" w:lineRule="exac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1</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2</w:t>
            </w:r>
            <w:r>
              <w:rPr>
                <w:rFonts w:ascii="Times New Roman" w:hAnsi="Times New Roman" w:eastAsia="仿宋_GB2312"/>
                <w:color w:val="000000" w:themeColor="text1"/>
                <w:szCs w:val="21"/>
                <w:highlight w:val="none"/>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3</w:t>
            </w:r>
            <w:r>
              <w:rPr>
                <w:rFonts w:ascii="Times New Roman" w:hAnsi="Times New Roman" w:eastAsia="仿宋_GB2312"/>
                <w:color w:val="000000" w:themeColor="text1"/>
                <w:szCs w:val="21"/>
                <w:highlight w:val="none"/>
                <w14:textFill>
                  <w14:solidFill>
                    <w14:schemeClr w14:val="tx1"/>
                  </w14:solidFill>
                </w14:textFill>
              </w:rPr>
              <w:t>0～1</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5</w:t>
            </w:r>
            <w:r>
              <w:rPr>
                <w:rFonts w:hint="eastAsia" w:ascii="Times New Roman" w:hAnsi="Times New Roman" w:eastAsia="仿宋_GB2312"/>
                <w:color w:val="000000" w:themeColor="text1"/>
                <w:szCs w:val="21"/>
                <w:highlight w:val="none"/>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3</w:t>
            </w:r>
            <w:r>
              <w:rPr>
                <w:rFonts w:ascii="Times New Roman" w:hAnsi="Times New Roman" w:eastAsia="仿宋_GB2312"/>
                <w:color w:val="000000" w:themeColor="text1"/>
                <w:szCs w:val="21"/>
                <w:highlight w:val="none"/>
                <w14:textFill>
                  <w14:solidFill>
                    <w14:schemeClr w14:val="tx1"/>
                  </w14:solidFill>
                </w14:textFill>
              </w:rPr>
              <w:t>0</w:t>
            </w:r>
          </w:p>
        </w:tc>
        <w:tc>
          <w:tcPr>
            <w:tcW w:w="4915" w:type="dxa"/>
            <w:vAlign w:val="center"/>
          </w:tcPr>
          <w:p>
            <w:pPr>
              <w:adjustRightInd w:val="0"/>
              <w:snapToGrid w:val="0"/>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模块A</w:t>
            </w:r>
            <w:r>
              <w:rPr>
                <w:rFonts w:hint="eastAsia" w:ascii="Times New Roman" w:hAnsi="Times New Roman" w:eastAsia="仿宋_GB2312"/>
                <w:color w:val="000000" w:themeColor="text1"/>
                <w:szCs w:val="21"/>
                <w:highlight w:val="none"/>
                <w:lang w:eastAsia="zh-CN"/>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B</w:t>
            </w:r>
            <w:r>
              <w:rPr>
                <w:rFonts w:ascii="Times New Roman" w:hAnsi="Times New Roman" w:eastAsia="仿宋_GB2312"/>
                <w:color w:val="000000" w:themeColor="text1"/>
                <w:szCs w:val="21"/>
                <w:highlight w:val="none"/>
                <w14:textFill>
                  <w14:solidFill>
                    <w14:schemeClr w14:val="tx1"/>
                  </w14:solidFill>
                </w14:textFill>
              </w:rPr>
              <w:t>（第2轮）</w:t>
            </w:r>
          </w:p>
        </w:tc>
        <w:tc>
          <w:tcPr>
            <w:tcW w:w="1332" w:type="dxa"/>
            <w:vMerge w:val="continue"/>
          </w:tcPr>
          <w:p>
            <w:pPr>
              <w:adjustRightInd w:val="0"/>
              <w:snapToGrid w:val="0"/>
              <w:jc w:val="center"/>
              <w:rPr>
                <w:rFonts w:ascii="Times New Roman" w:hAnsi="Times New Roman" w:eastAsia="仿宋_GB2312"/>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adjustRightInd w:val="0"/>
              <w:snapToGrid w:val="0"/>
              <w:spacing w:line="240" w:lineRule="exac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1</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6</w:t>
            </w:r>
            <w:r>
              <w:rPr>
                <w:rFonts w:ascii="Times New Roman" w:hAnsi="Times New Roman" w:eastAsia="仿宋_GB2312"/>
                <w:color w:val="000000" w:themeColor="text1"/>
                <w:szCs w:val="21"/>
                <w:highlight w:val="none"/>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0</w:t>
            </w:r>
            <w:r>
              <w:rPr>
                <w:rFonts w:ascii="Times New Roman" w:hAnsi="Times New Roman" w:eastAsia="仿宋_GB2312"/>
                <w:color w:val="000000" w:themeColor="text1"/>
                <w:szCs w:val="21"/>
                <w:highlight w:val="none"/>
                <w14:textFill>
                  <w14:solidFill>
                    <w14:schemeClr w14:val="tx1"/>
                  </w14:solidFill>
                </w14:textFill>
              </w:rPr>
              <w:t>0～1</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9</w:t>
            </w:r>
            <w:r>
              <w:rPr>
                <w:rFonts w:hint="eastAsia" w:ascii="Times New Roman" w:hAnsi="Times New Roman" w:eastAsia="仿宋_GB2312"/>
                <w:color w:val="000000" w:themeColor="text1"/>
                <w:szCs w:val="21"/>
                <w:highlight w:val="none"/>
                <w14:textFill>
                  <w14:solidFill>
                    <w14:schemeClr w14:val="tx1"/>
                  </w14:solidFill>
                </w14:textFill>
              </w:rPr>
              <w:t>:</w:t>
            </w:r>
            <w:r>
              <w:rPr>
                <w:rFonts w:ascii="Times New Roman" w:hAnsi="Times New Roman" w:eastAsia="仿宋_GB2312"/>
                <w:color w:val="000000" w:themeColor="text1"/>
                <w:szCs w:val="21"/>
                <w:highlight w:val="none"/>
                <w14:textFill>
                  <w14:solidFill>
                    <w14:schemeClr w14:val="tx1"/>
                  </w14:solidFill>
                </w14:textFill>
              </w:rPr>
              <w:t>00</w:t>
            </w:r>
          </w:p>
        </w:tc>
        <w:tc>
          <w:tcPr>
            <w:tcW w:w="4915" w:type="dxa"/>
            <w:vAlign w:val="center"/>
          </w:tcPr>
          <w:p>
            <w:pPr>
              <w:adjustRightInd w:val="0"/>
              <w:snapToGrid w:val="0"/>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模块A</w:t>
            </w:r>
            <w:r>
              <w:rPr>
                <w:rFonts w:hint="eastAsia" w:ascii="Times New Roman" w:hAnsi="Times New Roman" w:eastAsia="仿宋_GB2312"/>
                <w:color w:val="000000" w:themeColor="text1"/>
                <w:szCs w:val="21"/>
                <w:highlight w:val="none"/>
                <w:lang w:eastAsia="zh-CN"/>
                <w14:textFill>
                  <w14:solidFill>
                    <w14:schemeClr w14:val="tx1"/>
                  </w14:solidFill>
                </w14:textFill>
              </w:rPr>
              <w:t>、</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B</w:t>
            </w:r>
            <w:r>
              <w:rPr>
                <w:rFonts w:ascii="Times New Roman" w:hAnsi="Times New Roman" w:eastAsia="仿宋_GB2312"/>
                <w:color w:val="000000" w:themeColor="text1"/>
                <w:szCs w:val="21"/>
                <w:highlight w:val="none"/>
                <w14:textFill>
                  <w14:solidFill>
                    <w14:schemeClr w14:val="tx1"/>
                  </w14:solidFill>
                </w14:textFill>
              </w:rPr>
              <w:t>（第</w:t>
            </w:r>
            <w:r>
              <w:rPr>
                <w:rFonts w:hint="eastAsia" w:ascii="Times New Roman" w:hAnsi="Times New Roman" w:eastAsia="仿宋_GB2312"/>
                <w:color w:val="000000" w:themeColor="text1"/>
                <w:szCs w:val="21"/>
                <w:highlight w:val="none"/>
                <w:lang w:val="en-US" w:eastAsia="zh-CN"/>
                <w14:textFill>
                  <w14:solidFill>
                    <w14:schemeClr w14:val="tx1"/>
                  </w14:solidFill>
                </w14:textFill>
              </w:rPr>
              <w:t>3</w:t>
            </w:r>
            <w:r>
              <w:rPr>
                <w:rFonts w:ascii="Times New Roman" w:hAnsi="Times New Roman" w:eastAsia="仿宋_GB2312"/>
                <w:color w:val="000000" w:themeColor="text1"/>
                <w:szCs w:val="21"/>
                <w:highlight w:val="none"/>
                <w14:textFill>
                  <w14:solidFill>
                    <w14:schemeClr w14:val="tx1"/>
                  </w14:solidFill>
                </w14:textFill>
              </w:rPr>
              <w:t>轮）</w:t>
            </w:r>
          </w:p>
        </w:tc>
        <w:tc>
          <w:tcPr>
            <w:tcW w:w="1332" w:type="dxa"/>
            <w:vMerge w:val="continue"/>
          </w:tcPr>
          <w:p>
            <w:pPr>
              <w:adjustRightInd w:val="0"/>
              <w:snapToGrid w:val="0"/>
              <w:jc w:val="center"/>
              <w:rPr>
                <w:rFonts w:ascii="Times New Roman" w:hAnsi="Times New Roman" w:eastAsia="仿宋_GB2312"/>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6" w:type="dxa"/>
            <w:vMerge w:val="continue"/>
            <w:vAlign w:val="center"/>
          </w:tcPr>
          <w:p>
            <w:pPr>
              <w:snapToGrid w:val="0"/>
              <w:spacing w:line="240" w:lineRule="atLeast"/>
              <w:jc w:val="center"/>
              <w:rPr>
                <w:rFonts w:ascii="Times New Roman" w:hAnsi="Times New Roman" w:eastAsia="仿宋_GB2312"/>
                <w:color w:val="000000" w:themeColor="text1"/>
                <w:szCs w:val="21"/>
                <w:highlight w:val="none"/>
                <w14:textFill>
                  <w14:solidFill>
                    <w14:schemeClr w14:val="tx1"/>
                  </w14:solidFill>
                </w14:textFill>
              </w:rPr>
            </w:pPr>
          </w:p>
        </w:tc>
        <w:tc>
          <w:tcPr>
            <w:tcW w:w="1499" w:type="dxa"/>
            <w:vAlign w:val="center"/>
          </w:tcPr>
          <w:p>
            <w:pPr>
              <w:adjustRightInd w:val="0"/>
              <w:snapToGrid w:val="0"/>
              <w:spacing w:line="240" w:lineRule="exact"/>
              <w:jc w:val="left"/>
              <w:rPr>
                <w:rFonts w:ascii="Times New Roman" w:hAnsi="Times New Roman" w:eastAsia="仿宋_GB2312"/>
                <w:color w:val="000000" w:themeColor="text1"/>
                <w:szCs w:val="21"/>
                <w:highlight w:val="none"/>
                <w14:textFill>
                  <w14:solidFill>
                    <w14:schemeClr w14:val="tx1"/>
                  </w14:solidFill>
                </w14:textFill>
              </w:rPr>
            </w:pPr>
            <w:r>
              <w:rPr>
                <w:rFonts w:hint="eastAsia" w:ascii="Times New Roman" w:hAnsi="Times New Roman" w:eastAsia="仿宋_GB2312"/>
                <w:color w:val="000000" w:themeColor="text1"/>
                <w:szCs w:val="21"/>
                <w:highlight w:val="none"/>
                <w:lang w:val="en-US" w:eastAsia="zh-CN"/>
                <w14:textFill>
                  <w14:solidFill>
                    <w14:schemeClr w14:val="tx1"/>
                  </w14:solidFill>
                </w14:textFill>
              </w:rPr>
              <w:t>21</w:t>
            </w:r>
            <w:r>
              <w:rPr>
                <w:rFonts w:ascii="Times New Roman" w:hAnsi="Times New Roman" w:eastAsia="仿宋_GB2312"/>
                <w:color w:val="000000" w:themeColor="text1"/>
                <w:szCs w:val="21"/>
                <w:highlight w:val="none"/>
                <w14:textFill>
                  <w14:solidFill>
                    <w14:schemeClr w14:val="tx1"/>
                  </w14:solidFill>
                </w14:textFill>
              </w:rPr>
              <w:t>:00～23:00</w:t>
            </w:r>
          </w:p>
        </w:tc>
        <w:tc>
          <w:tcPr>
            <w:tcW w:w="4915" w:type="dxa"/>
            <w:vAlign w:val="center"/>
          </w:tcPr>
          <w:p>
            <w:pPr>
              <w:adjustRightInd w:val="0"/>
              <w:snapToGrid w:val="0"/>
              <w:jc w:val="left"/>
              <w:rPr>
                <w:rFonts w:ascii="Times New Roman" w:hAnsi="Times New Roman" w:eastAsia="仿宋_GB2312"/>
                <w:color w:val="000000" w:themeColor="text1"/>
                <w:szCs w:val="21"/>
                <w:highlight w:val="none"/>
                <w14:textFill>
                  <w14:solidFill>
                    <w14:schemeClr w14:val="tx1"/>
                  </w14:solidFill>
                </w14:textFill>
              </w:rPr>
            </w:pPr>
            <w:r>
              <w:rPr>
                <w:rFonts w:hint="eastAsia" w:ascii="Times New Roman" w:hAnsi="Times New Roman" w:eastAsia="仿宋_GB2312"/>
                <w:color w:val="000000" w:themeColor="text1"/>
                <w:szCs w:val="21"/>
                <w:highlight w:val="none"/>
                <w:lang w:val="en-US" w:eastAsia="zh-CN"/>
                <w14:textFill>
                  <w14:solidFill>
                    <w14:schemeClr w14:val="tx1"/>
                  </w14:solidFill>
                </w14:textFill>
              </w:rPr>
              <w:t>成绩发布</w:t>
            </w:r>
          </w:p>
        </w:tc>
        <w:tc>
          <w:tcPr>
            <w:tcW w:w="1332" w:type="dxa"/>
          </w:tcPr>
          <w:p>
            <w:pPr>
              <w:adjustRightInd w:val="0"/>
              <w:snapToGrid w:val="0"/>
              <w:jc w:val="center"/>
              <w:rPr>
                <w:rFonts w:hint="eastAsia" w:ascii="Times New Roman" w:hAnsi="Times New Roman" w:eastAsia="仿宋_GB2312"/>
                <w:color w:val="000000" w:themeColor="text1"/>
                <w:szCs w:val="21"/>
                <w:highlight w:val="none"/>
                <w:lang w:val="en-US" w:eastAsia="zh-CN"/>
                <w14:textFill>
                  <w14:solidFill>
                    <w14:schemeClr w14:val="tx1"/>
                  </w14:solidFill>
                </w14:textFill>
              </w:rPr>
            </w:pPr>
          </w:p>
        </w:tc>
      </w:tr>
    </w:tbl>
    <w:p>
      <w:pPr>
        <w:pStyle w:val="5"/>
        <w:rPr>
          <w:highlight w:val="none"/>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六、竞赛</w:t>
      </w:r>
      <w:r>
        <w:rPr>
          <w:rFonts w:hint="eastAsia" w:ascii="黑体" w:hAnsi="宋体" w:eastAsia="黑体" w:cs="黑体"/>
          <w:color w:val="000000"/>
          <w:kern w:val="0"/>
          <w:sz w:val="24"/>
          <w:szCs w:val="24"/>
          <w:highlight w:val="none"/>
          <w:lang w:val="en-US" w:eastAsia="zh-CN" w:bidi="ar"/>
        </w:rPr>
        <w:t>命题</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专家组依据本规程公布的作业要求和考核要点负责编制竞赛用试题，试题与评分标准对应考核模块的故障点或规范操作要点。竞赛设备说明书、维修手册、电路图等相关技术资料将随比赛车（机）型同时在</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“山东省职业院校技能大赛网：http://sdskills.sdei.edu.cn/”</w:t>
      </w:r>
      <w:r>
        <w:rPr>
          <w:rFonts w:hint="eastAsia" w:ascii="Times New Roman" w:hAnsi="Times New Roman" w:eastAsia="仿宋_GB2312"/>
          <w:color w:val="000000" w:themeColor="text1"/>
          <w:sz w:val="24"/>
          <w:szCs w:val="24"/>
          <w:highlight w:val="none"/>
          <w14:textFill>
            <w14:solidFill>
              <w14:schemeClr w14:val="tx1"/>
            </w14:solidFill>
          </w14:textFill>
        </w:rPr>
        <w:t>公布，具体形式为电子版。样题与参考评分标准详见附件1-</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9</w:t>
      </w:r>
      <w:r>
        <w:rPr>
          <w:rFonts w:hint="eastAsia" w:ascii="Times New Roman" w:hAnsi="Times New Roman" w:eastAsia="仿宋_GB2312"/>
          <w:color w:val="000000" w:themeColor="text1"/>
          <w:sz w:val="24"/>
          <w:szCs w:val="24"/>
          <w:highlight w:val="none"/>
          <w14:textFill>
            <w14:solidFill>
              <w14:schemeClr w14:val="tx1"/>
            </w14:solidFill>
          </w14:textFill>
        </w:rPr>
        <w:t>，仅作为训练参考。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七</w:t>
      </w:r>
      <w:r>
        <w:rPr>
          <w:rFonts w:ascii="黑体" w:hAnsi="宋体" w:eastAsia="黑体" w:cs="黑体"/>
          <w:color w:val="000000"/>
          <w:kern w:val="0"/>
          <w:sz w:val="24"/>
          <w:szCs w:val="24"/>
          <w:highlight w:val="none"/>
          <w:lang w:val="en-US" w:eastAsia="zh-CN" w:bidi="ar"/>
        </w:rPr>
        <w:t>、竞赛规则</w:t>
      </w:r>
    </w:p>
    <w:p>
      <w:pPr>
        <w:spacing w:line="360" w:lineRule="auto"/>
        <w:ind w:firstLine="482" w:firstLineChars="200"/>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）熟悉场地</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 xml:space="preserve">赛项比赛前一天下午安排参赛队熟悉比赛场地，召开领队会议，宣布竞赛纪律和有关规定。 </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二</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）入场规则</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 xml:space="preserve">按照职业院校技能大赛制度汇编要求，进行检录、一次加密、二次加密等工作。 </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）赛场规则</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1.参赛选手经检录后实行封闭管理。</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2.裁判长发布竞赛开始指令后正式开始竞赛，参赛选手合理计划安排，利用现场提供的所有条件完成竞赛任务。</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3.参赛选手须严格遵守安全操作规程，并接受裁判员的监督和警示，以确保安全。参赛选手因个人误操作造成人身安全事故和设备故障时，裁判长有权中止该参赛选手竞赛；如非参赛选手个人因素出现设备故障而无法竞赛，由裁判长视具体情况做出裁决。</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4.选手若提前结束竞赛，应举手向裁判员示意，选手结束竞赛后不得再进行任何操作。</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5.裁判长在竞赛阶段统一进行剩余时间提醒、发布竞赛结束指令。竞赛结束时所有参赛选手立即停止操作。</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其它未涉及事项或突发事件，由大赛执委会负责解释或决定。</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）离场规则</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参赛选手须服从裁判统一指挥，尊重赛场工作人员，自觉维护赛场秩序有序离场，不得带出赛卷、稿纸、车辆钥匙等物品。</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w:t>
      </w: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sz w:val="24"/>
          <w:szCs w:val="24"/>
          <w:highlight w:val="none"/>
          <w14:textFill>
            <w14:solidFill>
              <w14:schemeClr w14:val="tx1"/>
            </w14:solidFill>
          </w14:textFill>
        </w:rPr>
        <w:t>）成绩评定及公布</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1.严禁参赛选手、赛项裁判、工作人员私自携带通讯、摄录设备进入比赛场地和裁判工作室。</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2.评分材料须由评分裁判签字确认，更正成绩需经裁判本人、裁判长及监督仲裁组长签字确认。</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3.裁判应与参赛人员无利益关系。与参赛单位、参赛选手有利益关系时，应主动申报、回避。</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4.在正式公布比赛成绩之前，任何人员不得泄露过程评分和结果评分的评分结果及相关数据。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八、竞赛环境</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竞赛场地在承办院校合格场地进行，赛场符合防火安全规定，提供稳定的电、气源，场地采光、照明和通风良好，设有尾排通风装置，配有供电应急设备，配备水基型灭火器以应对电动汽车的电气安全事故。赛场内安排有裁判休息区、监督仲裁室、专家室、评分裁判室、机要室、医疗室、选手封闭室、卫生间等必要的区域；评分裁判室、裁判休息区、监督仲裁室、选手封闭区刚性隔离；所有比赛工位用专用屏风隔离，避免相互影响；现场配备音响、摄像设备，以便有效组织赛场活动；现场配备计时器，准确把控竞赛时间；赛场机要室钥匙由裁判长和监督仲裁组长分别保管，严禁外人进入。</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各模块共用竞赛场地，赛场总面积不小于800</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m</w:t>
      </w:r>
      <w:r>
        <w:rPr>
          <w:rFonts w:hint="eastAsia" w:ascii="Times New Roman" w:hAnsi="Times New Roman" w:eastAsia="仿宋_GB2312"/>
          <w:color w:val="000000" w:themeColor="text1"/>
          <w:sz w:val="24"/>
          <w:szCs w:val="24"/>
          <w:highlight w:val="none"/>
          <w:vertAlign w:val="superscript"/>
          <w:lang w:val="en-US" w:eastAsia="zh-CN"/>
          <w14:textFill>
            <w14:solidFill>
              <w14:schemeClr w14:val="tx1"/>
            </w14:solidFill>
          </w14:textFill>
        </w:rPr>
        <w:t>2</w:t>
      </w:r>
      <w:r>
        <w:rPr>
          <w:rFonts w:ascii="Times New Roman" w:hAnsi="Times New Roman" w:eastAsia="仿宋_GB2312"/>
          <w:color w:val="000000" w:themeColor="text1"/>
          <w:sz w:val="24"/>
          <w:szCs w:val="24"/>
          <w:highlight w:val="none"/>
          <w14:textFill>
            <w14:solidFill>
              <w14:schemeClr w14:val="tx1"/>
            </w14:solidFill>
          </w14:textFill>
        </w:rPr>
        <w:t>，配备</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6</w:t>
      </w:r>
      <w:r>
        <w:rPr>
          <w:rFonts w:ascii="Times New Roman" w:hAnsi="Times New Roman" w:eastAsia="仿宋_GB2312"/>
          <w:color w:val="000000" w:themeColor="text1"/>
          <w:sz w:val="24"/>
          <w:szCs w:val="24"/>
          <w:highlight w:val="none"/>
          <w14:textFill>
            <w14:solidFill>
              <w14:schemeClr w14:val="tx1"/>
            </w14:solidFill>
          </w14:textFill>
        </w:rPr>
        <w:t>个竞赛工位和</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1</w:t>
      </w:r>
      <w:r>
        <w:rPr>
          <w:rFonts w:ascii="Times New Roman" w:hAnsi="Times New Roman" w:eastAsia="仿宋_GB2312"/>
          <w:color w:val="000000" w:themeColor="text1"/>
          <w:sz w:val="24"/>
          <w:szCs w:val="24"/>
          <w:highlight w:val="none"/>
          <w14:textFill>
            <w14:solidFill>
              <w14:schemeClr w14:val="tx1"/>
            </w14:solidFill>
          </w14:textFill>
        </w:rPr>
        <w:t>个备用工位，比赛工位数根据最后报名参赛教师数量调整。每个工位占地面积不低于50</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m</w:t>
      </w:r>
      <w:r>
        <w:rPr>
          <w:rFonts w:hint="eastAsia" w:ascii="Times New Roman" w:hAnsi="Times New Roman" w:eastAsia="仿宋_GB2312"/>
          <w:color w:val="000000" w:themeColor="text1"/>
          <w:sz w:val="24"/>
          <w:szCs w:val="24"/>
          <w:highlight w:val="none"/>
          <w:vertAlign w:val="superscript"/>
          <w:lang w:val="en-US" w:eastAsia="zh-CN"/>
          <w14:textFill>
            <w14:solidFill>
              <w14:schemeClr w14:val="tx1"/>
            </w14:solidFill>
          </w14:textFill>
        </w:rPr>
        <w:t>2</w:t>
      </w:r>
      <w:r>
        <w:rPr>
          <w:rFonts w:ascii="Times New Roman" w:hAnsi="Times New Roman" w:eastAsia="仿宋_GB2312"/>
          <w:color w:val="000000" w:themeColor="text1"/>
          <w:sz w:val="24"/>
          <w:szCs w:val="24"/>
          <w:highlight w:val="none"/>
          <w14:textFill>
            <w14:solidFill>
              <w14:schemeClr w14:val="tx1"/>
            </w14:solidFill>
          </w14:textFill>
        </w:rPr>
        <w:t>，提供220V交流电，插座带漏电保护和接地保护，能承载功率7kw、电流32A以上，配置有双柱举升机、尾排及通风系统；竞赛场地净空高度不低于4.2m，实操竞赛工位布置见图1。</w:t>
      </w:r>
    </w:p>
    <w:p>
      <w:pPr>
        <w:jc w:val="center"/>
        <w:rPr>
          <w:rFonts w:ascii="Times New Roman" w:hAnsi="Times New Roman" w:eastAsia="仿宋_GB2312"/>
          <w:color w:val="000000" w:themeColor="text1"/>
          <w:sz w:val="24"/>
          <w:highlight w:val="none"/>
          <w14:textFill>
            <w14:solidFill>
              <w14:schemeClr w14:val="tx1"/>
            </w14:solidFill>
          </w14:textFill>
        </w:rPr>
      </w:pPr>
      <w:r>
        <w:rPr>
          <w:rFonts w:ascii="Times New Roman" w:hAnsi="Times New Roman" w:eastAsia="仿宋_GB2312"/>
          <w:color w:val="000000" w:themeColor="text1"/>
          <w:sz w:val="24"/>
          <w:highlight w:val="none"/>
          <w14:textFill>
            <w14:solidFill>
              <w14:schemeClr w14:val="tx1"/>
            </w14:solidFill>
          </w14:textFill>
        </w:rPr>
        <w:drawing>
          <wp:inline distT="0" distB="0" distL="0" distR="0">
            <wp:extent cx="2172335" cy="2838450"/>
            <wp:effectExtent l="0" t="0" r="6985" b="11430"/>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72335" cy="2838450"/>
                    </a:xfrm>
                    <a:prstGeom prst="rect">
                      <a:avLst/>
                    </a:prstGeom>
                    <a:noFill/>
                    <a:ln>
                      <a:noFill/>
                    </a:ln>
                    <a:effectLst/>
                  </pic:spPr>
                </pic:pic>
              </a:graphicData>
            </a:graphic>
          </wp:inline>
        </w:drawing>
      </w:r>
    </w:p>
    <w:p>
      <w:pPr>
        <w:jc w:val="center"/>
        <w:rPr>
          <w:rFonts w:ascii="Times New Roman" w:hAnsi="Times New Roman"/>
          <w:color w:val="000000" w:themeColor="text1"/>
          <w:highlight w:val="none"/>
          <w14:textFill>
            <w14:solidFill>
              <w14:schemeClr w14:val="tx1"/>
            </w14:solidFill>
          </w14:textFill>
        </w:rPr>
      </w:pPr>
    </w:p>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bookmarkStart w:id="1" w:name="_Hlk132466563"/>
      <w:r>
        <w:rPr>
          <w:rFonts w:ascii="Times New Roman" w:hAnsi="Times New Roman" w:eastAsia="黑体"/>
          <w:color w:val="000000" w:themeColor="text1"/>
          <w:sz w:val="24"/>
          <w:highlight w:val="none"/>
          <w14:textFill>
            <w14:solidFill>
              <w14:schemeClr w14:val="tx1"/>
            </w14:solidFill>
          </w14:textFill>
        </w:rPr>
        <w:t>图1整车竞赛工位布置图</w:t>
      </w:r>
      <w:bookmarkEnd w:id="1"/>
    </w:p>
    <w:p>
      <w:pPr>
        <w:spacing w:line="360" w:lineRule="auto"/>
        <w:ind w:firstLine="560" w:firstLineChars="200"/>
        <w:rPr>
          <w:rFonts w:ascii="Times New Roman" w:hAnsi="Times New Roman" w:eastAsia="仿宋_GB2312"/>
          <w:color w:val="000000" w:themeColor="text1"/>
          <w:sz w:val="28"/>
          <w:szCs w:val="28"/>
          <w:highlight w:val="none"/>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九</w:t>
      </w:r>
      <w:r>
        <w:rPr>
          <w:rFonts w:ascii="黑体" w:hAnsi="宋体" w:eastAsia="黑体" w:cs="黑体"/>
          <w:color w:val="000000"/>
          <w:kern w:val="0"/>
          <w:sz w:val="24"/>
          <w:szCs w:val="24"/>
          <w:highlight w:val="none"/>
          <w:lang w:val="en-US" w:eastAsia="zh-CN" w:bidi="ar"/>
        </w:rPr>
        <w:t>、技术规范</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（一）法律法规</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《中华人民共和国安全生产法》、《机动车维修管理规定》等</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（二）技术标准</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1.GB/T18344-2016汽车维护、检测、检测技术规范</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2.GB7258-2017机动车运行安全技术条件</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3.GB/T15746-2011汽车修理质量检查评定方法</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4.GB/T19910-2005汽车发动机电子控制系统修理技术要求</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5.GB/T18384.1-2015电动汽车安全要求第1部分：车载可充电储能系统(REESS)</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6.GB/T18384.2-2015电动汽车安全要求第2部分：操作安全和故障防护</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7.GB/T18384.3-2015电动汽车安全要求第3部分：人员触电防护</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8.GB/T28382-2012纯电动乘用车技术条件</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9.GB/T18385-2005电动汽车动力性能试验方法</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10.GB/T18487.1-2015电动汽车传导充电系统第1部分通用要求</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11.GB/T31486-2015电动汽车用动力蓄电池电性能要求及试验方法</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12.GB/T18488.1-2015电动汽车用驱动电机系统第1部分：技术条件</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13.GB/T18488.2-2015电动汽车用驱动电机系统第2部分：试验方法</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14.GB/T20234.1-2015电动汽车传导充电用连接装置第1部分：通用要求</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15.GB/T20234.2-2015电动汽车传导充电用连接装置第2部分：交流充电接口</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16.GB/T24347-2009电动汽车DC/DC变换器</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(三)高职专业教学标准</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1.汽车制造类-汽车制造与试验技术460701</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2.汽车制造类-新能源汽车技术460702</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3.汽车制造类-汽车电子技术460703</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4.汽车制造类-汽车造型与改装技术460705</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5.道路运输类-汽车检测与维修技术500211</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6.道路运输类-新能源汽车检测与维修技术500212</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（四）操控人员要求</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1.具有正确使用常用检测仪器设备的能力；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2.具有传统汽车和新能源汽车维护的能力；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3.具有一定的汽车性能检测的能力；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4.具有汽车故障检测与排除的能力；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5.具有新能源汽车常规系统的检测与维修能力；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6.具有新能源汽车高压系统的检测与维修能力；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7.具有汽车维修业务接待和业务管理的能力；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8.具有查阅、应用汽车维修资料的能力；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9.具有发动机电控系统、车身电控系统、底盘电控系统、新能源汽车汽车基础知识；</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10.具备发动机电控系统、车身电控系统、底盘电控系统、新能源汽车控制系统检修方法;</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11.能依据检验标准完成发动机电控系统、车身电控系统、底盘电控系统质检;</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12.能依据新能源汽车动力系统检验标准完成质检;</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13.具有适应产业数字化发展需求的基本数字技能；</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14.具有专业相关的法律法规、绿色生产、环境保护、安全防护、质量管理、安全生产等知识与技能。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hint="eastAsia" w:ascii="黑体" w:hAnsi="宋体" w:eastAsia="黑体" w:cs="黑体"/>
          <w:color w:val="000000"/>
          <w:kern w:val="0"/>
          <w:sz w:val="24"/>
          <w:szCs w:val="24"/>
          <w:highlight w:val="none"/>
          <w:lang w:val="en-US" w:eastAsia="zh-CN" w:bidi="ar"/>
        </w:rPr>
        <w:t>十、</w:t>
      </w:r>
      <w:r>
        <w:rPr>
          <w:rFonts w:ascii="黑体" w:hAnsi="宋体" w:eastAsia="黑体" w:cs="黑体"/>
          <w:color w:val="000000"/>
          <w:kern w:val="0"/>
          <w:sz w:val="24"/>
          <w:szCs w:val="24"/>
          <w:highlight w:val="none"/>
          <w:lang w:val="en-US" w:eastAsia="zh-CN" w:bidi="ar"/>
        </w:rPr>
        <w:t>技术平台</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技术平台见表3</w:t>
      </w:r>
    </w:p>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黑体"/>
          <w:color w:val="000000" w:themeColor="text1"/>
          <w:sz w:val="24"/>
          <w:highlight w:val="none"/>
          <w14:textFill>
            <w14:solidFill>
              <w14:schemeClr w14:val="tx1"/>
            </w14:solidFill>
          </w14:textFill>
        </w:rPr>
        <w:t>表3  技术平台</w:t>
      </w:r>
    </w:p>
    <w:tbl>
      <w:tblPr>
        <w:tblStyle w:val="10"/>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735"/>
        <w:gridCol w:w="1020"/>
        <w:gridCol w:w="761"/>
        <w:gridCol w:w="1097"/>
        <w:gridCol w:w="5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0"/>
            <w:vAlign w:val="center"/>
          </w:tcPr>
          <w:p>
            <w:pPr>
              <w:snapToGrid w:val="0"/>
              <w:spacing w:line="240" w:lineRule="atLeast"/>
              <w:jc w:val="center"/>
              <w:rPr>
                <w:rFonts w:hint="eastAsia" w:ascii="Times New Roman" w:hAnsi="Times New Roman" w:eastAsia="仿宋_GB2312" w:cs="Times New Roman"/>
                <w:b/>
                <w:bCs/>
                <w:color w:val="000000" w:themeColor="text1"/>
                <w:szCs w:val="21"/>
                <w:highlight w:val="none"/>
                <w14:textFill>
                  <w14:solidFill>
                    <w14:schemeClr w14:val="tx1"/>
                  </w14:solidFill>
                </w14:textFill>
              </w:rPr>
            </w:pP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序号</w:t>
            </w:r>
          </w:p>
        </w:tc>
        <w:tc>
          <w:tcPr>
            <w:tcW w:w="397" w:type="pct"/>
            <w:noWrap w:val="0"/>
            <w:vAlign w:val="center"/>
          </w:tcPr>
          <w:p>
            <w:pPr>
              <w:snapToGrid w:val="0"/>
              <w:spacing w:line="240" w:lineRule="atLeast"/>
              <w:jc w:val="cente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竞赛模块</w:t>
            </w:r>
          </w:p>
        </w:tc>
        <w:tc>
          <w:tcPr>
            <w:tcW w:w="551" w:type="pct"/>
            <w:noWrap w:val="0"/>
            <w:vAlign w:val="center"/>
          </w:tcPr>
          <w:p>
            <w:pPr>
              <w:snapToGrid w:val="0"/>
              <w:spacing w:line="240" w:lineRule="atLeast"/>
              <w:jc w:val="cente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产品</w:t>
            </w:r>
          </w:p>
          <w:p>
            <w:pPr>
              <w:snapToGrid w:val="0"/>
              <w:spacing w:line="240" w:lineRule="atLeast"/>
              <w:jc w:val="center"/>
              <w:rPr>
                <w:rFonts w:hint="eastAsia" w:ascii="Times New Roman" w:hAnsi="Times New Roman" w:eastAsia="仿宋_GB2312" w:cs="Times New Roman"/>
                <w:b/>
                <w:bCs/>
                <w:color w:val="000000" w:themeColor="text1"/>
                <w:szCs w:val="21"/>
                <w:highlight w:val="none"/>
                <w14:textFill>
                  <w14:solidFill>
                    <w14:schemeClr w14:val="tx1"/>
                  </w14:solidFill>
                </w14:textFill>
              </w:rPr>
            </w:pP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名称</w:t>
            </w:r>
          </w:p>
        </w:tc>
        <w:tc>
          <w:tcPr>
            <w:tcW w:w="411" w:type="pct"/>
            <w:noWrap w:val="0"/>
            <w:vAlign w:val="center"/>
          </w:tcPr>
          <w:p>
            <w:pPr>
              <w:snapToGrid w:val="0"/>
              <w:spacing w:line="240" w:lineRule="atLeast"/>
              <w:jc w:val="center"/>
              <w:rPr>
                <w:rFonts w:hint="eastAsia" w:ascii="Times New Roman" w:hAnsi="Times New Roman" w:eastAsia="仿宋_GB2312" w:cs="Times New Roman"/>
                <w:b/>
                <w:bCs/>
                <w:color w:val="000000" w:themeColor="text1"/>
                <w:szCs w:val="21"/>
                <w:highlight w:val="none"/>
                <w14:textFill>
                  <w14:solidFill>
                    <w14:schemeClr w14:val="tx1"/>
                  </w14:solidFill>
                </w14:textFill>
              </w:rPr>
            </w:pP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品牌</w:t>
            </w:r>
          </w:p>
        </w:tc>
        <w:tc>
          <w:tcPr>
            <w:tcW w:w="592" w:type="pct"/>
            <w:noWrap w:val="0"/>
            <w:vAlign w:val="center"/>
          </w:tcPr>
          <w:p>
            <w:pPr>
              <w:snapToGrid w:val="0"/>
              <w:spacing w:line="240" w:lineRule="atLeast"/>
              <w:jc w:val="center"/>
              <w:rPr>
                <w:rFonts w:hint="eastAsia" w:ascii="Times New Roman" w:hAnsi="Times New Roman" w:eastAsia="仿宋_GB2312" w:cs="Times New Roman"/>
                <w:b/>
                <w:bCs/>
                <w:color w:val="000000" w:themeColor="text1"/>
                <w:szCs w:val="21"/>
                <w:highlight w:val="none"/>
                <w14:textFill>
                  <w14:solidFill>
                    <w14:schemeClr w14:val="tx1"/>
                  </w14:solidFill>
                </w14:textFill>
              </w:rPr>
            </w:pP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产品型号</w:t>
            </w:r>
          </w:p>
        </w:tc>
        <w:tc>
          <w:tcPr>
            <w:tcW w:w="2740" w:type="pct"/>
            <w:noWrap w:val="0"/>
            <w:vAlign w:val="center"/>
          </w:tcPr>
          <w:p>
            <w:pPr>
              <w:snapToGrid w:val="0"/>
              <w:spacing w:line="240" w:lineRule="atLeast"/>
              <w:jc w:val="center"/>
              <w:rPr>
                <w:rFonts w:hint="eastAsia" w:ascii="Times New Roman" w:hAnsi="Times New Roman" w:eastAsia="仿宋_GB2312" w:cs="Times New Roman"/>
                <w:b/>
                <w:bCs/>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b/>
                <w:bCs/>
                <w:color w:val="000000" w:themeColor="text1"/>
                <w:szCs w:val="21"/>
                <w:highlight w:val="none"/>
                <w14:textFill>
                  <w14:solidFill>
                    <w14:schemeClr w14:val="tx1"/>
                  </w14:solidFill>
                </w14:textFill>
              </w:rPr>
              <w:t>技术</w:t>
            </w:r>
            <w:r>
              <w:rPr>
                <w:rFonts w:hint="eastAsia" w:ascii="Times New Roman" w:hAnsi="Times New Roman" w:eastAsia="仿宋_GB2312" w:cs="Times New Roman"/>
                <w:b/>
                <w:bCs/>
                <w:color w:val="000000" w:themeColor="text1"/>
                <w:szCs w:val="21"/>
                <w:highlight w:val="none"/>
                <w:lang w:val="en-US" w:eastAsia="zh-CN"/>
                <w14:textFill>
                  <w14:solidFill>
                    <w14:schemeClr w14:val="tx1"/>
                  </w14:solidFill>
                </w14:textFill>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w:t>
            </w:r>
          </w:p>
        </w:tc>
        <w:tc>
          <w:tcPr>
            <w:tcW w:w="397" w:type="pct"/>
            <w:vMerge w:val="restart"/>
            <w:noWrap w:val="0"/>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模块A汽车动力及底盘电控系统检修</w:t>
            </w:r>
          </w:p>
        </w:tc>
        <w:tc>
          <w:tcPr>
            <w:tcW w:w="551"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纯电动整车</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比亚迪</w:t>
            </w:r>
          </w:p>
        </w:tc>
        <w:tc>
          <w:tcPr>
            <w:tcW w:w="59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秦EV</w:t>
            </w:r>
          </w:p>
          <w:p>
            <w:pPr>
              <w:snapToGrid w:val="0"/>
              <w:spacing w:line="240" w:lineRule="atLeast"/>
              <w:jc w:val="left"/>
              <w:rPr>
                <w:rFonts w:hint="default"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2019款</w:t>
            </w:r>
          </w:p>
        </w:tc>
        <w:tc>
          <w:tcPr>
            <w:tcW w:w="2740"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1.车体：约长：4678mm；宽：1770mm；高：1500mm；轴距：2670mm；</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2.前轮距：约1525mm；后轮距：约1520mm；</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3.最高车速：130Km/h；</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4.工况续航里程：≥400km；</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5.车门数：4；座位数：5；</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6.车体结构：三厢轿车；</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7.转向助力：电动助力；</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8.前制动类型：通风盘；</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9.后制动类型：盘式；</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10.手刹类型：电子驻车制动；</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11.驱动方式：前轮驱动；</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12.前悬挂类型：麦弗逊式独立悬架；</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13.后悬挂类型：扭力梁式半独立悬挂。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新能源整车故障设置与检测连接平台</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59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FXB-DS2023-GZ8</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与纯电动整车实训平台配合使用，在不破坏原车任意一条线束的基础上将整车转变为在线检测故障教具车，可实现实时检测与诊断原车、静态信号参数。可对控制单元主要线路进行断路、短路、虚接、交叉错接等故障，具备机械故障设置，可采集控制原车整车控制器VCU控制单元、动力电池管理系统BMS控制单元、驱动电机控制单元、高压充配电总成控制单元、自动空调管理控制单元、EPS控制单元、EPB控制单元、智能钥匙控制单元、直流充电口、交流充电口、BCM车身电脑控制单元等系统的动、静态信号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3</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故障诊断仪</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592"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FXB-DSQB202201</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1.原厂级诊断标准，可对亚欧美及国产全球上万种车型进行诊断和特殊功能匹配；</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2.原厂级维修资料，可在线查找故障维修资料包括电路图、故障分析步骤、故障位置图等；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4</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一体化集成拆装工具</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592"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FXB-DS2022-21</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ascii="仿宋_GB2312" w:hAnsi="宋体" w:eastAsia="仿宋_GB2312" w:cs="仿宋_GB2312"/>
                <w:color w:val="000000"/>
                <w:kern w:val="0"/>
                <w:sz w:val="21"/>
                <w:szCs w:val="21"/>
                <w:lang w:val="en-US" w:eastAsia="zh-CN" w:bidi="ar"/>
              </w:rPr>
              <w:t>包含</w:t>
            </w:r>
            <w:r>
              <w:rPr>
                <w:rFonts w:hint="default" w:ascii="Times New Roman" w:hAnsi="Times New Roman" w:eastAsia="宋体" w:cs="Times New Roman"/>
                <w:color w:val="000000"/>
                <w:kern w:val="0"/>
                <w:sz w:val="21"/>
                <w:szCs w:val="21"/>
                <w:lang w:val="en-US" w:eastAsia="zh-CN" w:bidi="ar"/>
              </w:rPr>
              <w:t xml:space="preserve">7 </w:t>
            </w:r>
            <w:r>
              <w:rPr>
                <w:rFonts w:hint="eastAsia" w:ascii="仿宋_GB2312" w:hAnsi="宋体" w:eastAsia="仿宋_GB2312" w:cs="仿宋_GB2312"/>
                <w:color w:val="000000"/>
                <w:kern w:val="0"/>
                <w:sz w:val="21"/>
                <w:szCs w:val="21"/>
                <w:lang w:val="en-US" w:eastAsia="zh-CN" w:bidi="ar"/>
              </w:rPr>
              <w:t>抽屉柜形多功能工具手推车、三层零件车，</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配置1000V超强绝缘电压工具，配有检修灯、指针式扭矩扳手、冰点测试仪、检测笔、预置式扭矩扳手、水管拆装工具、水管堵头、橡皮锤、绝缘开口扳手、绝缘一字批、绝缘十字批、压线钳、油封安装工具、铲刀、卡簧钳、游标卡尺、钢直尺、气密性检测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5</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手持示波器</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592"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FXB-DS2019-20</w:t>
            </w:r>
          </w:p>
        </w:tc>
        <w:tc>
          <w:tcPr>
            <w:tcW w:w="2740" w:type="pct"/>
            <w:noWrap w:val="0"/>
            <w:vAlign w:val="center"/>
          </w:tcPr>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1.双输入通道数字示波器</w:t>
            </w:r>
          </w:p>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2.带宽：100MHz</w:t>
            </w:r>
          </w:p>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3.垂直灵敏度：5mV/div-50V/div</w:t>
            </w:r>
          </w:p>
          <w:p>
            <w:pPr>
              <w:snapToGrid w:val="0"/>
              <w:spacing w:line="240" w:lineRule="atLeast"/>
              <w:jc w:val="left"/>
              <w:rPr>
                <w:rFonts w:ascii="Times New Roman" w:hAnsi="Times New Roman" w:eastAsia="仿宋_GB2312"/>
                <w:color w:val="000000" w:themeColor="text1"/>
                <w:szCs w:val="21"/>
                <w:highlight w:val="none"/>
                <w14:textFill>
                  <w14:solidFill>
                    <w14:schemeClr w14:val="tx1"/>
                  </w14:solidFill>
                </w14:textFill>
              </w:rPr>
            </w:pPr>
            <w:r>
              <w:rPr>
                <w:rFonts w:ascii="Times New Roman" w:hAnsi="Times New Roman" w:eastAsia="仿宋_GB2312"/>
                <w:color w:val="000000" w:themeColor="text1"/>
                <w:szCs w:val="21"/>
                <w:highlight w:val="none"/>
                <w14:textFill>
                  <w14:solidFill>
                    <w14:schemeClr w14:val="tx1"/>
                  </w14:solidFill>
                </w14:textFill>
              </w:rPr>
              <w:t>4.触发类型：脉宽、视频、边沿、交替</w:t>
            </w:r>
          </w:p>
          <w:p>
            <w:pPr>
              <w:pStyle w:val="2"/>
              <w:ind w:left="0" w:leftChars="0" w:firstLine="0" w:firstLineChars="0"/>
              <w:rPr>
                <w:rFonts w:hint="eastAsia"/>
                <w:lang w:val="en-US" w:eastAsia="zh-CN"/>
              </w:rPr>
            </w:pPr>
            <w:r>
              <w:rPr>
                <w:rFonts w:ascii="Times New Roman" w:hAnsi="Times New Roman" w:eastAsia="仿宋_GB2312"/>
                <w:color w:val="000000" w:themeColor="text1"/>
                <w:szCs w:val="21"/>
                <w:highlight w:val="none"/>
                <w14:textFill>
                  <w14:solidFill>
                    <w14:schemeClr w14:val="tx1"/>
                  </w14:solidFill>
                </w14:textFill>
              </w:rPr>
              <w:t>5.工作时间不低于7个小时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6</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万用接线盒</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592"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FXB-DS2023-16</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1.主要强调各种规格的“T”型线，能满足轿车竞赛系统的所有保险丝、继电器、传感器、执行器插接测量之用，要有足够的通流能力和可重复插接使用能力。</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2.探针：具备测量方便，不破坏原车线束。</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3.鳄鱼夹：用以作暂时性电路连接。锯齿状的夹口可以牢牢地夹住要着色的零件，保证不会让零件松脱，个性化的绝缘设计，操作更安全。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7</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万用表</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592"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FXB-DS2023-19</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性能稳定、可靠性手持式真有效值数字万用表、46段模拟条，可用来测量：1000V 直流/交流电压测量、20A交流/直流电流测试、电阻、电容、频率、占空比、二极管、三极管及电路通断、ACV + DCV测量、LPF(低通滤波)，配备专业NCV测量功能。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8</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人员及工位安全防护套装</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59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FXB-DSQB202302</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人员防护套装包括绝缘手套、耐磨手套、绝缘鞋、护目镜、安全帽等各1套。</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工位安全保护套装包括警示牌、隔离带套装、绝缘防护垫等各1套。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9</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绝缘工作台</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59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FXB-DS2022-69</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.工作台整体采用碳钢材质，整体强度结实牢靠，钢结构表面采用静电喷涂工艺进行处理；</w:t>
            </w:r>
          </w:p>
          <w:p>
            <w:pPr>
              <w:snapToGrid w:val="0"/>
              <w:spacing w:line="240" w:lineRule="atLeast"/>
              <w:jc w:val="left"/>
              <w:rPr>
                <w:rFonts w:hint="default"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.桌面采用定制型防静电工作台面，有效保障在拆装过程中的安全操作。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10</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绝缘电阻测试仪</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风向标</w:t>
            </w:r>
          </w:p>
        </w:tc>
        <w:tc>
          <w:tcPr>
            <w:tcW w:w="59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FXB-DS2022-18</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大型6000字读数显示屏，带模拟条显示；</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2.带有</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遥控表笔测量，可单手操作，</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方便测量，提高安全性；</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3.</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COMP比较功能，绝缘电阻测量设定通过/失败比较值</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具有启动锁定/定时测量功能，六组定时时间可选；</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4.</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自动释放电压功能，提高用户操作安全性；</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5.绝缘</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步进</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测试</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功能，档位</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具有</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50</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V-1000V</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的步进绝缘</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多功能</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输出电压</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调节</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11</w:t>
            </w:r>
          </w:p>
        </w:tc>
        <w:tc>
          <w:tcPr>
            <w:tcW w:w="397" w:type="pct"/>
            <w:vMerge w:val="restar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14:textFill>
                  <w14:solidFill>
                    <w14:schemeClr w14:val="tx1"/>
                  </w14:solidFill>
                </w14:textFill>
              </w:rPr>
            </w:pPr>
          </w:p>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模块B发动机及车身电控系统故障检修</w:t>
            </w:r>
          </w:p>
        </w:tc>
        <w:tc>
          <w:tcPr>
            <w:tcW w:w="1020" w:type="dxa"/>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magenta"/>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燃油整车</w:t>
            </w:r>
          </w:p>
        </w:tc>
        <w:tc>
          <w:tcPr>
            <w:tcW w:w="761" w:type="dxa"/>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magenta"/>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一汽大众</w:t>
            </w:r>
          </w:p>
        </w:tc>
        <w:tc>
          <w:tcPr>
            <w:tcW w:w="1097" w:type="dxa"/>
            <w:noWrap/>
            <w:vAlign w:val="center"/>
          </w:tcPr>
          <w:p>
            <w:pPr>
              <w:snapToGrid w:val="0"/>
              <w:spacing w:line="240" w:lineRule="atLeast"/>
              <w:jc w:val="left"/>
              <w:rPr>
                <w:rFonts w:hint="default" w:ascii="Times New Roman" w:hAnsi="Times New Roman" w:eastAsia="仿宋_GB2312" w:cs="Times New Roman"/>
                <w:color w:val="000000" w:themeColor="text1"/>
                <w:szCs w:val="21"/>
                <w:highlight w:val="magenta"/>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380TSI+DSG 国Ⅵ</w:t>
            </w:r>
          </w:p>
        </w:tc>
        <w:tc>
          <w:tcPr>
            <w:tcW w:w="5071" w:type="dxa"/>
            <w:noWrap w:val="0"/>
            <w:vAlign w:val="center"/>
          </w:tcPr>
          <w:p>
            <w:pPr>
              <w:snapToGrid w:val="0"/>
              <w:spacing w:line="240" w:lineRule="atLeast"/>
              <w:jc w:val="left"/>
              <w:rPr>
                <w:rFonts w:hint="default" w:ascii="Times New Roman" w:hAnsi="Times New Roman" w:eastAsia="仿宋_GB2312" w:cs="Times New Roman"/>
                <w:color w:val="000000" w:themeColor="text1"/>
                <w:szCs w:val="21"/>
                <w:highlight w:val="magenta"/>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采用</w:t>
            </w:r>
            <w:r>
              <w:rPr>
                <w:rFonts w:hint="eastAsia" w:ascii="Times New Roman" w:hAnsi="Times New Roman" w:eastAsia="仿宋_GB2312" w:cs="Times New Roman"/>
                <w:color w:val="000000" w:themeColor="text1"/>
                <w:szCs w:val="21"/>
                <w:highlight w:val="none"/>
                <w14:textFill>
                  <w14:solidFill>
                    <w14:schemeClr w14:val="tx1"/>
                  </w14:solidFill>
                </w14:textFill>
              </w:rPr>
              <w:t>迈腾B8L整车</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Cs w:val="21"/>
                <w:highlight w:val="none"/>
                <w14:textFill>
                  <w14:solidFill>
                    <w14:schemeClr w14:val="tx1"/>
                  </w14:solidFill>
                </w14:textFill>
              </w:rPr>
              <w:t>具备完整的动力、制动、传动、转向、行驶、电气、空调及控制系统，各种工况正常，可以正常启动、行驶、制动。能够通过诊断电脑，执行读取车辆信息、读取故障代码、数据流、执行元件测试等操作。</w:t>
            </w:r>
            <w:bookmarkStart w:id="5" w:name="_GoBack"/>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12</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整车故障设置与检测连接平台</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车拉夫</w:t>
            </w:r>
          </w:p>
        </w:tc>
        <w:tc>
          <w:tcPr>
            <w:tcW w:w="59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vw6606-2023</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整车故障设置与检测连接平台由整车故障设置与检测连接平台（A+B）</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Cs w:val="21"/>
                <w:highlight w:val="none"/>
                <w14:textFill>
                  <w14:solidFill>
                    <w14:schemeClr w14:val="tx1"/>
                  </w14:solidFill>
                </w14:textFill>
              </w:rPr>
              <w:t>集成工具管理车</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智能化教考服务平台</w:t>
            </w:r>
            <w:r>
              <w:rPr>
                <w:rFonts w:hint="eastAsia" w:ascii="Times New Roman" w:hAnsi="Times New Roman" w:eastAsia="仿宋_GB2312" w:cs="Times New Roman"/>
                <w:color w:val="000000" w:themeColor="text1"/>
                <w:szCs w:val="21"/>
                <w:highlight w:val="none"/>
                <w14:textFill>
                  <w14:solidFill>
                    <w14:schemeClr w14:val="tx1"/>
                  </w14:solidFill>
                </w14:textFill>
              </w:rPr>
              <w:t>组成</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仿宋_GB2312" w:cs="Times New Roman"/>
                <w:color w:val="000000" w:themeColor="text1"/>
                <w:szCs w:val="21"/>
                <w:highlight w:val="none"/>
                <w14:textFill>
                  <w14:solidFill>
                    <w14:schemeClr w14:val="tx1"/>
                  </w14:solidFill>
                </w14:textFill>
              </w:rPr>
              <w:t>整车故障设置与检测连接平台（A+B）</w:t>
            </w:r>
          </w:p>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整车故障设置与检测连接平台（A+B）可同时与全新迈腾B8L整车进行无损连接，可同时实现发动机电控系统、车身电控系统双模块的信号测量和故障设置。与车辆进行无损连接后，可对汽车发动机控制单元J623、车载电网控制单元J519、车门控制单元J386、J387、进入及启动许可系统J965、网关J533进行原车配套的检测与诊断。</w:t>
            </w:r>
          </w:p>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2.</w:t>
            </w:r>
            <w:r>
              <w:rPr>
                <w:rFonts w:hint="eastAsia" w:ascii="Times New Roman" w:hAnsi="Times New Roman" w:eastAsia="仿宋_GB2312" w:cs="Times New Roman"/>
                <w:color w:val="000000" w:themeColor="text1"/>
                <w:szCs w:val="21"/>
                <w:highlight w:val="none"/>
                <w14:textFill>
                  <w14:solidFill>
                    <w14:schemeClr w14:val="tx1"/>
                  </w14:solidFill>
                </w14:textFill>
              </w:rPr>
              <w:t>集成工具管理车</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集成工具管理车由多层可自锁抽屉组成存储空间，上部安装有榉木工作台面，便于放置实训器材</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Cs w:val="21"/>
                <w:highlight w:val="none"/>
                <w14:textFill>
                  <w14:solidFill>
                    <w14:schemeClr w14:val="tx1"/>
                  </w14:solidFill>
                </w14:textFill>
              </w:rPr>
              <w:t>工作车下部多层分类存储抽屉，可按照拆装工具层、存储空间、智能终端、检测工具的划分，分门别类地将所需的实训工量具进行集中管理，每个抽屉层板上铺设有EVA切割泡棉，根据工件的形状激光雕刻一次成型并牢牢地镶嵌其中。有效实现了工具、设备、测量工具的集中管理与储藏，大大方便了实际工作的开展</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3.</w:t>
            </w:r>
            <w:r>
              <w:rPr>
                <w:rFonts w:hint="eastAsia" w:ascii="Times New Roman" w:hAnsi="Times New Roman" w:eastAsia="仿宋_GB2312" w:cs="Times New Roman"/>
                <w:color w:val="000000" w:themeColor="text1"/>
                <w:szCs w:val="21"/>
                <w:highlight w:val="none"/>
                <w14:textFill>
                  <w14:solidFill>
                    <w14:schemeClr w14:val="tx1"/>
                  </w14:solidFill>
                </w14:textFill>
              </w:rPr>
              <w:t>智能化教考服务平台</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智能化教考服务平台集教/练/考/评于一体，是与整车及整车故障设置平台深度融合的系统化云平台。该平台基于院校在比赛训练及日常教学过程中所遇到的诸如技术资料缺失、技术数据不明确、训练标准不统一、操作动作不规范、训练过程难量化、作业记录表解析不到位、技术服务时效性差等痛点问题而开发，一站式解决实训及教学过程中教师“教”和学生“学”的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13</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汽车故障诊断仪</w:t>
            </w:r>
          </w:p>
        </w:tc>
        <w:tc>
          <w:tcPr>
            <w:tcW w:w="411" w:type="pct"/>
            <w:noWrap/>
            <w:vAlign w:val="center"/>
          </w:tcPr>
          <w:p>
            <w:pPr>
              <w:snapToGrid w:val="0"/>
              <w:spacing w:line="240" w:lineRule="atLeast"/>
              <w:jc w:val="left"/>
              <w:rPr>
                <w:rFonts w:hint="default"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星卡</w:t>
            </w:r>
          </w:p>
        </w:tc>
        <w:tc>
          <w:tcPr>
            <w:tcW w:w="59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X8</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1.双诊断模式，除支持本地诊断外还支持视频远程诊断和远程控制支持DoIP/D-PDU/RP1210三大诊断标准</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2.支持国产车原厂级诊断及设码</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3.支持通用、大众、奥迪、宝马四款软件的在线编程。</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4.支持胎压诊断功能，可实现胎压传感器的激活、编程和学习功能高性能硬件配置，64G大存储，2600mAh大容量钾电池，并配备800万后置摄像头</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p>
            <w:pPr>
              <w:snapToGrid w:val="0"/>
              <w:spacing w:line="240" w:lineRule="atLeast"/>
              <w:jc w:val="left"/>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5.共集合34项保养特殊功能</w:t>
            </w:r>
            <w:r>
              <w:rPr>
                <w:rFonts w:hint="eastAsia" w:ascii="Times New Roman" w:hAnsi="Times New Roman" w:eastAsia="仿宋_GB2312" w:cs="Times New Roman"/>
                <w:color w:val="000000" w:themeColor="text1"/>
                <w:szCs w:val="21"/>
                <w:highlight w:val="none"/>
                <w:lang w:eastAsia="zh-CN"/>
                <w14:textFill>
                  <w14:solidFill>
                    <w14:schemeClr w14:val="tx1"/>
                  </w14:solidFill>
                </w14:textFill>
              </w:rPr>
              <w:t>；</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6.智能诊断系统拓扑图显示，展示整车系统通讯状态、系统配置及故障信息、支持ADAS高级驾驶辅助系统标定工具。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14</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汽车专用示波器</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车拉夫</w:t>
            </w:r>
          </w:p>
        </w:tc>
        <w:tc>
          <w:tcPr>
            <w:tcW w:w="59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VW-DSO-001</w:t>
            </w:r>
          </w:p>
        </w:tc>
        <w:tc>
          <w:tcPr>
            <w:tcW w:w="2740" w:type="pct"/>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1.</w:t>
            </w:r>
            <w:r>
              <w:rPr>
                <w:rFonts w:ascii="仿宋_GB2312" w:hAnsi="宋体" w:eastAsia="仿宋_GB2312" w:cs="仿宋_GB2312"/>
                <w:color w:val="000000"/>
                <w:kern w:val="0"/>
                <w:sz w:val="21"/>
                <w:szCs w:val="21"/>
                <w:lang w:val="en-US" w:eastAsia="zh-CN" w:bidi="ar"/>
              </w:rPr>
              <w:t xml:space="preserve">双输入通道数字示波器 </w:t>
            </w:r>
          </w:p>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2.</w:t>
            </w:r>
            <w:r>
              <w:rPr>
                <w:rFonts w:hint="eastAsia" w:ascii="仿宋_GB2312" w:hAnsi="宋体" w:eastAsia="仿宋_GB2312" w:cs="仿宋_GB2312"/>
                <w:color w:val="000000"/>
                <w:kern w:val="0"/>
                <w:sz w:val="21"/>
                <w:szCs w:val="21"/>
                <w:lang w:val="en-US" w:eastAsia="zh-CN" w:bidi="ar"/>
              </w:rPr>
              <w:t>带宽：</w:t>
            </w:r>
            <w:r>
              <w:rPr>
                <w:rFonts w:hint="default" w:ascii="Times New Roman" w:hAnsi="Times New Roman" w:eastAsia="宋体" w:cs="Times New Roman"/>
                <w:color w:val="000000"/>
                <w:kern w:val="0"/>
                <w:sz w:val="21"/>
                <w:szCs w:val="21"/>
                <w:lang w:val="en-US" w:eastAsia="zh-CN" w:bidi="ar"/>
              </w:rPr>
              <w:t xml:space="preserve">100MHz </w:t>
            </w:r>
          </w:p>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3.</w:t>
            </w:r>
            <w:r>
              <w:rPr>
                <w:rFonts w:hint="eastAsia" w:ascii="仿宋_GB2312" w:hAnsi="宋体" w:eastAsia="仿宋_GB2312" w:cs="仿宋_GB2312"/>
                <w:color w:val="000000"/>
                <w:kern w:val="0"/>
                <w:sz w:val="21"/>
                <w:szCs w:val="21"/>
                <w:lang w:val="en-US" w:eastAsia="zh-CN" w:bidi="ar"/>
              </w:rPr>
              <w:t>垂直灵敏度：</w:t>
            </w:r>
            <w:r>
              <w:rPr>
                <w:rFonts w:hint="default" w:ascii="Times New Roman" w:hAnsi="Times New Roman" w:eastAsia="宋体" w:cs="Times New Roman"/>
                <w:color w:val="000000"/>
                <w:kern w:val="0"/>
                <w:sz w:val="21"/>
                <w:szCs w:val="21"/>
                <w:lang w:val="en-US" w:eastAsia="zh-CN" w:bidi="ar"/>
              </w:rPr>
              <w:t xml:space="preserve">5mv/div-50v/div </w:t>
            </w:r>
          </w:p>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4.</w:t>
            </w:r>
            <w:r>
              <w:rPr>
                <w:rFonts w:hint="eastAsia" w:ascii="仿宋_GB2312" w:hAnsi="宋体" w:eastAsia="仿宋_GB2312" w:cs="仿宋_GB2312"/>
                <w:color w:val="000000"/>
                <w:kern w:val="0"/>
                <w:sz w:val="21"/>
                <w:szCs w:val="21"/>
                <w:lang w:val="en-US" w:eastAsia="zh-CN" w:bidi="ar"/>
              </w:rPr>
              <w:t xml:space="preserve">触发类型：脉宽、视频、边沿、交替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15</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汽车专用数字万用表</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优利德</w:t>
            </w:r>
          </w:p>
        </w:tc>
        <w:tc>
          <w:tcPr>
            <w:tcW w:w="592" w:type="pct"/>
            <w:noWrap/>
            <w:vAlign w:val="center"/>
          </w:tcPr>
          <w:p>
            <w:pPr>
              <w:snapToGrid w:val="0"/>
              <w:spacing w:line="240" w:lineRule="atLeast"/>
              <w:jc w:val="left"/>
              <w:rPr>
                <w:rFonts w:hint="default"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UT61E</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具有超大屏幕数字和高解析度模拟指针的同步显示功能，全量程过载保护。</w:t>
            </w:r>
            <w:r>
              <w:rPr>
                <w:rFonts w:hint="eastAsia" w:ascii="仿宋_GB2312" w:hAnsi="宋体" w:eastAsia="仿宋_GB2312" w:cs="仿宋_GB2312"/>
                <w:color w:val="000000"/>
                <w:kern w:val="0"/>
                <w:sz w:val="21"/>
                <w:szCs w:val="21"/>
                <w:lang w:val="en-US" w:eastAsia="zh-CN" w:bidi="ar"/>
              </w:rPr>
              <w:t>可测试直流电压（</w:t>
            </w:r>
            <w:r>
              <w:rPr>
                <w:rFonts w:hint="default" w:ascii="Times New Roman" w:hAnsi="Times New Roman" w:eastAsia="宋体" w:cs="Times New Roman"/>
                <w:color w:val="000000"/>
                <w:kern w:val="0"/>
                <w:sz w:val="21"/>
                <w:szCs w:val="21"/>
                <w:lang w:val="en-US" w:eastAsia="zh-CN" w:bidi="ar"/>
              </w:rPr>
              <w:t>DC1000V</w:t>
            </w:r>
            <w:r>
              <w:rPr>
                <w:rFonts w:hint="eastAsia" w:ascii="仿宋_GB2312" w:hAnsi="宋体" w:eastAsia="仿宋_GB2312" w:cs="仿宋_GB2312"/>
                <w:color w:val="000000"/>
                <w:kern w:val="0"/>
                <w:sz w:val="21"/>
                <w:szCs w:val="21"/>
                <w:lang w:val="en-US" w:eastAsia="zh-CN" w:bidi="ar"/>
              </w:rPr>
              <w:t>）、交流电压（</w:t>
            </w:r>
            <w:r>
              <w:rPr>
                <w:rFonts w:hint="default" w:ascii="Times New Roman" w:hAnsi="Times New Roman" w:eastAsia="宋体" w:cs="Times New Roman"/>
                <w:color w:val="000000"/>
                <w:kern w:val="0"/>
                <w:sz w:val="21"/>
                <w:szCs w:val="21"/>
                <w:lang w:val="en-US" w:eastAsia="zh-CN" w:bidi="ar"/>
              </w:rPr>
              <w:t>AC750V</w:t>
            </w:r>
            <w:r>
              <w:rPr>
                <w:rFonts w:hint="eastAsia" w:ascii="仿宋_GB2312" w:hAnsi="宋体" w:eastAsia="仿宋_GB2312" w:cs="仿宋_GB2312"/>
                <w:color w:val="000000"/>
                <w:kern w:val="0"/>
                <w:sz w:val="21"/>
                <w:szCs w:val="21"/>
                <w:lang w:val="en-US" w:eastAsia="zh-CN" w:bidi="ar"/>
              </w:rPr>
              <w:t>）、电阻、电容、频率、直流电流、交流电流、二极管测试、通断报警、低压显示、等功能。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16</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万用接线盒</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车拉夫</w:t>
            </w:r>
          </w:p>
        </w:tc>
        <w:tc>
          <w:tcPr>
            <w:tcW w:w="59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CRF-RYC-DS-JXH</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产品配套全新迈腾B8L使用，方便学生在实际故障诊断过程中进行线路搭接和信号测量。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17</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拆装工具</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车拉夫</w:t>
            </w:r>
          </w:p>
        </w:tc>
        <w:tc>
          <w:tcPr>
            <w:tcW w:w="59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CRF-RYC-DS-CZGJ</w:t>
            </w:r>
          </w:p>
        </w:tc>
        <w:tc>
          <w:tcPr>
            <w:tcW w:w="2740" w:type="pct"/>
            <w:noWrap w:val="0"/>
            <w:vAlign w:val="center"/>
          </w:tcPr>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1.</w:t>
            </w:r>
            <w:r>
              <w:rPr>
                <w:rFonts w:ascii="仿宋_GB2312" w:hAnsi="宋体" w:eastAsia="仿宋_GB2312" w:cs="仿宋_GB2312"/>
                <w:color w:val="000000"/>
                <w:kern w:val="0"/>
                <w:sz w:val="21"/>
                <w:szCs w:val="21"/>
                <w:lang w:val="en-US" w:eastAsia="zh-CN" w:bidi="ar"/>
              </w:rPr>
              <w:t>工具车下部共含有多层分类存储抽屉</w:t>
            </w:r>
            <w:r>
              <w:rPr>
                <w:rFonts w:hint="eastAsia" w:ascii="仿宋_GB2312" w:hAnsi="宋体" w:eastAsia="仿宋_GB2312" w:cs="仿宋_GB2312"/>
                <w:color w:val="000000"/>
                <w:kern w:val="0"/>
                <w:sz w:val="21"/>
                <w:szCs w:val="21"/>
                <w:lang w:val="en-US" w:eastAsia="zh-CN" w:bidi="ar"/>
              </w:rPr>
              <w:t>；</w:t>
            </w:r>
            <w:r>
              <w:rPr>
                <w:rFonts w:ascii="仿宋_GB2312" w:hAnsi="宋体" w:eastAsia="仿宋_GB2312" w:cs="仿宋_GB2312"/>
                <w:color w:val="000000"/>
                <w:kern w:val="0"/>
                <w:sz w:val="21"/>
                <w:szCs w:val="21"/>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2.</w:t>
            </w:r>
            <w:r>
              <w:rPr>
                <w:rFonts w:hint="eastAsia" w:ascii="仿宋_GB2312" w:hAnsi="宋体" w:eastAsia="仿宋_GB2312" w:cs="仿宋_GB2312"/>
                <w:color w:val="000000"/>
                <w:kern w:val="0"/>
                <w:sz w:val="21"/>
                <w:szCs w:val="21"/>
                <w:lang w:val="en-US" w:eastAsia="zh-CN" w:bidi="ar"/>
              </w:rPr>
              <w:t xml:space="preserve">工具车底部配备有两个专用充气轮胎以及两个万向脚轮，移动灵活，安全可靠、坚固耐； </w:t>
            </w:r>
          </w:p>
          <w:p>
            <w:pPr>
              <w:keepNext w:val="0"/>
              <w:keepLines w:val="0"/>
              <w:widowControl/>
              <w:suppressLineNumbers w:val="0"/>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3.</w:t>
            </w:r>
            <w:r>
              <w:rPr>
                <w:rFonts w:hint="eastAsia" w:ascii="仿宋_GB2312" w:hAnsi="宋体" w:eastAsia="仿宋_GB2312" w:cs="仿宋_GB2312"/>
                <w:color w:val="000000"/>
                <w:kern w:val="0"/>
                <w:sz w:val="21"/>
                <w:szCs w:val="21"/>
                <w:lang w:val="en-US" w:eastAsia="zh-CN" w:bidi="ar"/>
              </w:rPr>
              <w:t>配套尺寸的长短套筒、汽动铬钼钢加长套筒、万向接头、转换接头、接杆、防滑压花梅开扳手、新款棘轮扳手、防滑压花油管扳手、可调型扭力扳手、汽车专用测电笔、汽车内饰拆装组、护目镜、手电筒等。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07" w:type="pct"/>
            <w:noWrap/>
            <w:vAlign w:val="center"/>
          </w:tcPr>
          <w:p>
            <w:pPr>
              <w:snapToGrid w:val="0"/>
              <w:spacing w:line="240" w:lineRule="atLeast"/>
              <w:jc w:val="cente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18</w:t>
            </w:r>
          </w:p>
        </w:tc>
        <w:tc>
          <w:tcPr>
            <w:tcW w:w="397" w:type="pct"/>
            <w:vMerge w:val="continue"/>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14:textFill>
                  <w14:solidFill>
                    <w14:schemeClr w14:val="tx1"/>
                  </w14:solidFill>
                </w14:textFill>
              </w:rPr>
            </w:pPr>
          </w:p>
        </w:tc>
        <w:tc>
          <w:tcPr>
            <w:tcW w:w="55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充电机</w:t>
            </w:r>
          </w:p>
        </w:tc>
        <w:tc>
          <w:tcPr>
            <w:tcW w:w="411"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车拉夫</w:t>
            </w:r>
          </w:p>
        </w:tc>
        <w:tc>
          <w:tcPr>
            <w:tcW w:w="592" w:type="pct"/>
            <w:noWrap/>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t>CRF-RYC-DS-CDJ</w:t>
            </w:r>
          </w:p>
        </w:tc>
        <w:tc>
          <w:tcPr>
            <w:tcW w:w="2740" w:type="pct"/>
            <w:noWrap w:val="0"/>
            <w:vAlign w:val="center"/>
          </w:tcPr>
          <w:p>
            <w:pPr>
              <w:snapToGrid w:val="0"/>
              <w:spacing w:line="240" w:lineRule="atLeast"/>
              <w:jc w:val="left"/>
              <w:rPr>
                <w:rFonts w:hint="eastAsia" w:ascii="Times New Roman" w:hAnsi="Times New Roman" w:eastAsia="仿宋_GB2312"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Cs w:val="21"/>
                <w:highlight w:val="none"/>
                <w14:textFill>
                  <w14:solidFill>
                    <w14:schemeClr w14:val="tx1"/>
                  </w14:solidFill>
                </w14:textFill>
              </w:rPr>
              <w:t>充电机采用智能化设计，具备防短接功能，最大充电电流≥70A，可以选择电流、电压、电量的充电模式，也可以选择普通、AGM、GEL等电池类型。操作过程中正确连接充电机，可有效防止车辆因实验而导致亏电，造成干扰性故障。</w:t>
            </w:r>
          </w:p>
        </w:tc>
      </w:tr>
    </w:tbl>
    <w:p>
      <w:pPr>
        <w:rPr>
          <w:rFonts w:ascii="Times New Roman" w:hAnsi="Times New Roman"/>
          <w:color w:val="000000" w:themeColor="text1"/>
          <w:highlight w:val="none"/>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十一、成绩评定</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（一）评分标准</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1.评分方法</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赛项最终得分按百分制计算，各参赛队成绩为2个竞赛模块成绩的加权总和。其中模块A汽车动力及底盘电控系统检修、模块B发动机及车身电控系统故障检修，系数分别为0.</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5</w:t>
      </w:r>
      <w:r>
        <w:rPr>
          <w:rFonts w:ascii="Times New Roman" w:hAnsi="Times New Roman" w:eastAsia="仿宋_GB2312"/>
          <w:color w:val="000000" w:themeColor="text1"/>
          <w:sz w:val="24"/>
          <w:szCs w:val="24"/>
          <w:highlight w:val="none"/>
          <w14:textFill>
            <w14:solidFill>
              <w14:schemeClr w14:val="tx1"/>
            </w14:solidFill>
          </w14:textFill>
        </w:rPr>
        <w:t>0和0.</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5</w:t>
      </w:r>
      <w:r>
        <w:rPr>
          <w:rFonts w:ascii="Times New Roman" w:hAnsi="Times New Roman" w:eastAsia="仿宋_GB2312"/>
          <w:color w:val="000000" w:themeColor="text1"/>
          <w:sz w:val="24"/>
          <w:szCs w:val="24"/>
          <w:highlight w:val="none"/>
          <w14:textFill>
            <w14:solidFill>
              <w14:schemeClr w14:val="tx1"/>
            </w14:solidFill>
          </w14:textFill>
        </w:rPr>
        <w:t>0。总成绩=模块A成绩×0.</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5</w:t>
      </w:r>
      <w:r>
        <w:rPr>
          <w:rFonts w:ascii="Times New Roman" w:hAnsi="Times New Roman" w:eastAsia="仿宋_GB2312"/>
          <w:color w:val="000000" w:themeColor="text1"/>
          <w:sz w:val="24"/>
          <w:szCs w:val="24"/>
          <w:highlight w:val="none"/>
          <w14:textFill>
            <w14:solidFill>
              <w14:schemeClr w14:val="tx1"/>
            </w14:solidFill>
          </w14:textFill>
        </w:rPr>
        <w:t xml:space="preserve"> + 模块B成绩×0.</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5</w:t>
      </w:r>
      <w:r>
        <w:rPr>
          <w:rFonts w:ascii="Times New Roman" w:hAnsi="Times New Roman" w:eastAsia="仿宋_GB2312"/>
          <w:color w:val="000000" w:themeColor="text1"/>
          <w:sz w:val="24"/>
          <w:szCs w:val="24"/>
          <w:highlight w:val="none"/>
          <w14:textFill>
            <w14:solidFill>
              <w14:schemeClr w14:val="tx1"/>
            </w14:solidFill>
          </w14:textFill>
        </w:rPr>
        <w:t>。具体评分细则如表4所示。</w:t>
      </w:r>
    </w:p>
    <w:tbl>
      <w:tblPr>
        <w:tblStyle w:val="10"/>
        <w:tblpPr w:leftFromText="180" w:rightFromText="180" w:vertAnchor="text" w:tblpX="10551" w:tblpY="1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38" w:type="dxa"/>
          </w:tcPr>
          <w:p>
            <w:pPr>
              <w:pStyle w:val="9"/>
              <w:ind w:firstLine="480"/>
              <w:rPr>
                <w:rFonts w:ascii="Times New Roman" w:hAnsi="Times New Roman"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38" w:type="dxa"/>
          </w:tcPr>
          <w:p>
            <w:pPr>
              <w:pStyle w:val="9"/>
              <w:ind w:firstLine="480"/>
              <w:rPr>
                <w:rFonts w:ascii="Times New Roman" w:hAnsi="Times New Roman" w:eastAsia="仿宋"/>
                <w:color w:val="000000" w:themeColor="text1"/>
                <w:sz w:val="24"/>
                <w:highlight w:val="none"/>
                <w14:textFill>
                  <w14:solidFill>
                    <w14:schemeClr w14:val="tx1"/>
                  </w14:solidFill>
                </w14:textFill>
              </w:rPr>
            </w:pPr>
          </w:p>
        </w:tc>
      </w:tr>
    </w:tbl>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黑体"/>
          <w:color w:val="000000" w:themeColor="text1"/>
          <w:sz w:val="24"/>
          <w:highlight w:val="none"/>
          <w14:textFill>
            <w14:solidFill>
              <w14:schemeClr w14:val="tx1"/>
            </w14:solidFill>
          </w14:textFill>
        </w:rPr>
        <w:t>表4 评分细则</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3"/>
        <w:gridCol w:w="1249"/>
        <w:gridCol w:w="3504"/>
        <w:gridCol w:w="1308"/>
        <w:gridCol w:w="1044"/>
        <w:gridCol w:w="1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trPr>
        <w:tc>
          <w:tcPr>
            <w:tcW w:w="0" w:type="auto"/>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模块</w:t>
            </w:r>
          </w:p>
        </w:tc>
        <w:tc>
          <w:tcPr>
            <w:tcW w:w="1249"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序号</w:t>
            </w:r>
          </w:p>
        </w:tc>
        <w:tc>
          <w:tcPr>
            <w:tcW w:w="3504"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内容</w:t>
            </w:r>
          </w:p>
        </w:tc>
        <w:tc>
          <w:tcPr>
            <w:tcW w:w="1308"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分值</w:t>
            </w:r>
          </w:p>
        </w:tc>
        <w:tc>
          <w:tcPr>
            <w:tcW w:w="1044"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合计</w:t>
            </w:r>
          </w:p>
        </w:tc>
        <w:tc>
          <w:tcPr>
            <w:tcW w:w="1028" w:type="dxa"/>
            <w:vAlign w:val="bottom"/>
          </w:tcPr>
          <w:p>
            <w:pPr>
              <w:adjustRightInd w:val="0"/>
              <w:snapToGrid w:val="0"/>
              <w:spacing w:line="360" w:lineRule="auto"/>
              <w:ind w:right="210" w:rightChars="100"/>
              <w:jc w:val="center"/>
              <w:rPr>
                <w:rFonts w:ascii="Times New Roman" w:hAnsi="Times New Roman" w:eastAsia="仿宋_GB2312"/>
                <w:b/>
                <w:color w:val="000000" w:themeColor="text1"/>
                <w:szCs w:val="21"/>
                <w:highlight w:val="none"/>
                <w14:textFill>
                  <w14:solidFill>
                    <w14:schemeClr w14:val="tx1"/>
                  </w14:solidFill>
                </w14:textFill>
              </w:rPr>
            </w:pPr>
            <w:r>
              <w:rPr>
                <w:rFonts w:ascii="Times New Roman" w:hAnsi="Times New Roman" w:eastAsia="仿宋_GB2312"/>
                <w:b/>
                <w:color w:val="000000" w:themeColor="text1"/>
                <w:szCs w:val="21"/>
                <w:highlight w:val="none"/>
                <w14:textFill>
                  <w14:solidFill>
                    <w14:schemeClr w14:val="tx1"/>
                  </w14:solidFill>
                </w14:textFill>
              </w:rPr>
              <w:t>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0" w:type="auto"/>
            <w:vMerge w:val="restart"/>
            <w:vAlign w:val="bottom"/>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模块A</w:t>
            </w:r>
          </w:p>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bottom w:val="single" w:color="auto" w:sz="4" w:space="0"/>
            </w:tcBorders>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A</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0</w:t>
            </w:r>
          </w:p>
        </w:tc>
        <w:tc>
          <w:tcPr>
            <w:tcW w:w="3504"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工作组织与安全</w:t>
            </w:r>
          </w:p>
        </w:tc>
        <w:tc>
          <w:tcPr>
            <w:tcW w:w="1308"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20</w:t>
            </w:r>
          </w:p>
        </w:tc>
        <w:tc>
          <w:tcPr>
            <w:tcW w:w="1044"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100</w:t>
            </w:r>
          </w:p>
        </w:tc>
        <w:tc>
          <w:tcPr>
            <w:tcW w:w="1028" w:type="dxa"/>
            <w:vMerge w:val="restart"/>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0.</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0" w:type="auto"/>
            <w:vMerge w:val="continue"/>
            <w:vAlign w:val="bottom"/>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bottom w:val="single" w:color="auto" w:sz="4" w:space="0"/>
            </w:tcBorders>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A</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1</w:t>
            </w:r>
          </w:p>
        </w:tc>
        <w:tc>
          <w:tcPr>
            <w:tcW w:w="3504"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汽车动力控制系统故障检修</w:t>
            </w:r>
          </w:p>
        </w:tc>
        <w:tc>
          <w:tcPr>
            <w:tcW w:w="1308" w:type="dxa"/>
            <w:vMerge w:val="restart"/>
            <w:vAlign w:val="center"/>
          </w:tcPr>
          <w:p>
            <w:pPr>
              <w:adjustRightInd w:val="0"/>
              <w:snapToGrid w:val="0"/>
              <w:spacing w:line="360" w:lineRule="auto"/>
              <w:ind w:right="210" w:rightChars="100"/>
              <w:jc w:val="center"/>
              <w:rPr>
                <w:rFonts w:hint="default" w:ascii="Times New Roman" w:hAnsi="Times New Roman" w:eastAsia="仿宋_GB2312"/>
                <w:bCs/>
                <w:color w:val="000000" w:themeColor="text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80</w:t>
            </w:r>
          </w:p>
        </w:tc>
        <w:tc>
          <w:tcPr>
            <w:tcW w:w="104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028"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0" w:type="auto"/>
            <w:vMerge w:val="continue"/>
            <w:vAlign w:val="bottom"/>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top w:val="single" w:color="auto" w:sz="4" w:space="0"/>
            </w:tcBorders>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A</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2</w:t>
            </w:r>
          </w:p>
        </w:tc>
        <w:tc>
          <w:tcPr>
            <w:tcW w:w="3504" w:type="dxa"/>
            <w:tcBorders>
              <w:top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汽车底盘电控系统故障检修</w:t>
            </w:r>
          </w:p>
        </w:tc>
        <w:tc>
          <w:tcPr>
            <w:tcW w:w="1308" w:type="dxa"/>
            <w:vMerge w:val="continue"/>
            <w:vAlign w:val="center"/>
          </w:tcPr>
          <w:p>
            <w:pPr>
              <w:adjustRightInd w:val="0"/>
              <w:snapToGrid w:val="0"/>
              <w:spacing w:line="360" w:lineRule="auto"/>
              <w:ind w:right="210" w:rightChars="100"/>
              <w:jc w:val="center"/>
              <w:rPr>
                <w:rFonts w:hint="default" w:ascii="Times New Roman" w:hAnsi="Times New Roman" w:eastAsia="仿宋_GB2312"/>
                <w:bCs/>
                <w:color w:val="000000" w:themeColor="text1"/>
                <w:szCs w:val="21"/>
                <w:highlight w:val="none"/>
                <w:lang w:val="en-US" w:eastAsia="zh-CN"/>
                <w14:textFill>
                  <w14:solidFill>
                    <w14:schemeClr w14:val="tx1"/>
                  </w14:solidFill>
                </w14:textFill>
              </w:rPr>
            </w:pPr>
          </w:p>
        </w:tc>
        <w:tc>
          <w:tcPr>
            <w:tcW w:w="104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028"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063" w:type="dxa"/>
            <w:vMerge w:val="restart"/>
            <w:vAlign w:val="bottom"/>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模块B</w:t>
            </w:r>
          </w:p>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bottom w:val="single" w:color="auto" w:sz="4" w:space="0"/>
            </w:tcBorders>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B</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0</w:t>
            </w:r>
          </w:p>
        </w:tc>
        <w:tc>
          <w:tcPr>
            <w:tcW w:w="3504"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工作组织与安全</w:t>
            </w:r>
          </w:p>
        </w:tc>
        <w:tc>
          <w:tcPr>
            <w:tcW w:w="1308"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20</w:t>
            </w:r>
          </w:p>
        </w:tc>
        <w:tc>
          <w:tcPr>
            <w:tcW w:w="1044" w:type="dxa"/>
            <w:vMerge w:val="restart"/>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100</w:t>
            </w:r>
          </w:p>
        </w:tc>
        <w:tc>
          <w:tcPr>
            <w:tcW w:w="1028" w:type="dxa"/>
            <w:vMerge w:val="restart"/>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0.</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063" w:type="dxa"/>
            <w:vMerge w:val="continue"/>
            <w:vAlign w:val="bottom"/>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bottom w:val="single" w:color="auto" w:sz="4" w:space="0"/>
            </w:tcBorders>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B</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1</w:t>
            </w:r>
          </w:p>
        </w:tc>
        <w:tc>
          <w:tcPr>
            <w:tcW w:w="3504" w:type="dxa"/>
            <w:tcBorders>
              <w:bottom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发动机电控系统故障检修</w:t>
            </w:r>
          </w:p>
        </w:tc>
        <w:tc>
          <w:tcPr>
            <w:tcW w:w="1308" w:type="dxa"/>
            <w:vMerge w:val="restart"/>
            <w:vAlign w:val="center"/>
          </w:tcPr>
          <w:p>
            <w:pPr>
              <w:adjustRightInd w:val="0"/>
              <w:snapToGrid w:val="0"/>
              <w:spacing w:line="360" w:lineRule="auto"/>
              <w:ind w:right="210" w:rightChars="100"/>
              <w:jc w:val="center"/>
              <w:rPr>
                <w:rFonts w:hint="default" w:ascii="Times New Roman" w:hAnsi="Times New Roman" w:eastAsia="仿宋_GB2312"/>
                <w:bCs/>
                <w:color w:val="000000" w:themeColor="text1"/>
                <w:szCs w:val="21"/>
                <w:highlight w:val="none"/>
                <w:lang w:val="en-US" w:eastAsia="zh-CN"/>
                <w14:textFill>
                  <w14:solidFill>
                    <w14:schemeClr w14:val="tx1"/>
                  </w14:solidFill>
                </w14:textFill>
              </w:rPr>
            </w:pP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80</w:t>
            </w:r>
          </w:p>
        </w:tc>
        <w:tc>
          <w:tcPr>
            <w:tcW w:w="104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028"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063" w:type="dxa"/>
            <w:vMerge w:val="continue"/>
            <w:vAlign w:val="bottom"/>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249" w:type="dxa"/>
            <w:tcBorders>
              <w:top w:val="single" w:color="auto" w:sz="4" w:space="0"/>
            </w:tcBorders>
            <w:vAlign w:val="center"/>
          </w:tcPr>
          <w:p>
            <w:pPr>
              <w:adjustRightInd w:val="0"/>
              <w:snapToGrid w:val="0"/>
              <w:spacing w:line="360" w:lineRule="auto"/>
              <w:ind w:right="210" w:rightChars="100"/>
              <w:jc w:val="center"/>
              <w:rPr>
                <w:rFonts w:hint="eastAsia" w:ascii="Times New Roman" w:hAnsi="Times New Roman" w:eastAsia="仿宋_GB2312"/>
                <w:bCs/>
                <w:color w:val="000000" w:themeColor="text1"/>
                <w:szCs w:val="21"/>
                <w:highlight w:val="none"/>
                <w:lang w:eastAsia="zh-CN"/>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B</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2</w:t>
            </w:r>
          </w:p>
        </w:tc>
        <w:tc>
          <w:tcPr>
            <w:tcW w:w="3504" w:type="dxa"/>
            <w:tcBorders>
              <w:top w:val="single" w:color="auto" w:sz="4" w:space="0"/>
            </w:tcBorders>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车身电控系统故障检修</w:t>
            </w:r>
          </w:p>
        </w:tc>
        <w:tc>
          <w:tcPr>
            <w:tcW w:w="1308"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044"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c>
          <w:tcPr>
            <w:tcW w:w="1028" w:type="dxa"/>
            <w:vMerge w:val="continue"/>
            <w:vAlign w:val="center"/>
          </w:tcPr>
          <w:p>
            <w:pPr>
              <w:adjustRightInd w:val="0"/>
              <w:snapToGrid w:val="0"/>
              <w:spacing w:line="360" w:lineRule="auto"/>
              <w:ind w:right="210" w:rightChars="100"/>
              <w:jc w:val="center"/>
              <w:rPr>
                <w:rFonts w:ascii="Times New Roman" w:hAnsi="Times New Roman" w:eastAsia="仿宋_GB2312"/>
                <w:bCs/>
                <w:color w:val="000000" w:themeColor="text1"/>
                <w:szCs w:val="21"/>
                <w:highlight w:val="none"/>
                <w14:textFill>
                  <w14:solidFill>
                    <w14:schemeClr w14:val="tx1"/>
                  </w14:solidFill>
                </w14:textFill>
              </w:rPr>
            </w:pPr>
          </w:p>
        </w:tc>
      </w:tr>
    </w:tbl>
    <w:tbl>
      <w:tblPr>
        <w:tblStyle w:val="10"/>
        <w:tblpPr w:leftFromText="180" w:rightFromText="180" w:vertAnchor="text" w:tblpX="10551" w:tblpY="-1009"/>
        <w:tblOverlap w:val="never"/>
        <w:tblW w:w="28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2826" w:type="dxa"/>
          </w:tcPr>
          <w:p>
            <w:pPr>
              <w:rPr>
                <w:rFonts w:ascii="Times New Roman" w:hAnsi="Times New Roman"/>
                <w:color w:val="000000" w:themeColor="text1"/>
                <w:highlight w:val="none"/>
                <w14:textFill>
                  <w14:solidFill>
                    <w14:schemeClr w14:val="tx1"/>
                  </w14:solidFill>
                </w14:textFill>
              </w:rPr>
            </w:pPr>
          </w:p>
        </w:tc>
      </w:tr>
    </w:tbl>
    <w:p>
      <w:pPr>
        <w:rPr>
          <w:rFonts w:ascii="Times New Roman" w:hAnsi="Times New Roman"/>
          <w:vanish/>
          <w:color w:val="000000" w:themeColor="text1"/>
          <w:highlight w:val="none"/>
          <w14:textFill>
            <w14:solidFill>
              <w14:schemeClr w14:val="tx1"/>
            </w14:solidFill>
          </w14:textFill>
        </w:rPr>
      </w:pPr>
    </w:p>
    <w:tbl>
      <w:tblPr>
        <w:tblStyle w:val="10"/>
        <w:tblpPr w:leftFromText="180" w:rightFromText="180" w:vertAnchor="text" w:tblpX="10551" w:tblpY="59"/>
        <w:tblOverlap w:val="never"/>
        <w:tblW w:w="1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 w:hRule="atLeast"/>
        </w:trPr>
        <w:tc>
          <w:tcPr>
            <w:tcW w:w="1590" w:type="dxa"/>
          </w:tcPr>
          <w:p>
            <w:pPr>
              <w:rPr>
                <w:rFonts w:ascii="Times New Roman" w:hAnsi="Times New Roman"/>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90" w:type="dxa"/>
          </w:tcPr>
          <w:p>
            <w:pPr>
              <w:pStyle w:val="9"/>
              <w:ind w:firstLine="480"/>
              <w:rPr>
                <w:rFonts w:ascii="Times New Roman" w:hAnsi="Times New Roman" w:eastAsia="仿宋"/>
                <w:color w:val="000000" w:themeColor="text1"/>
                <w:sz w:val="24"/>
                <w:highlight w:val="none"/>
                <w14:textFill>
                  <w14:solidFill>
                    <w14:schemeClr w14:val="tx1"/>
                  </w14:solidFill>
                </w14:textFill>
              </w:rPr>
            </w:pPr>
          </w:p>
        </w:tc>
      </w:tr>
    </w:tbl>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2.违规扣分</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（1）在完成工作任务的过程中，因操作不当导致人身或设备安全事故每次扣10分，直至取消比赛资格。</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（2）损坏赛场提供的设备，污染赛场环境等不符合职业规范的行为扣5分。</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（3）在竞赛时段，参赛选手有不服从裁判扰乱赛场秩序、有作弊行为的、裁判宣布竞赛时间到仍强行操作的，取消参赛队奖项评比资格。</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（4）选手报告单上留有不应有的标识、符号、文字，扣5分。</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（二）裁判组成</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赛项裁判组负责赛项成绩评定工作。评分标准以“公平、公正、公开”为原则，采用过程评分和结果评分两种方式。成立由检录组、裁判组、监督仲裁组组成的成绩管理组织机构。参照《全国职业院校技能大赛专家和裁判工作管理办法》的有关要求，要求裁判人员的类别来自汽车维修企业，非参赛院校、非赛项合作企业，具有5年以上从事汽车维修岗位或汽车技术类专业教学经历。见表5.</w:t>
      </w:r>
    </w:p>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黑体"/>
          <w:color w:val="000000" w:themeColor="text1"/>
          <w:sz w:val="24"/>
          <w:highlight w:val="none"/>
          <w14:textFill>
            <w14:solidFill>
              <w14:schemeClr w14:val="tx1"/>
            </w14:solidFill>
          </w14:textFill>
        </w:rPr>
        <w:t>表5 裁判员人数和组成条件要求</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975"/>
        <w:gridCol w:w="2916"/>
        <w:gridCol w:w="2448"/>
        <w:gridCol w:w="1560"/>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序号</w:t>
            </w:r>
          </w:p>
        </w:tc>
        <w:tc>
          <w:tcPr>
            <w:tcW w:w="975"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专业技术方向</w:t>
            </w:r>
          </w:p>
        </w:tc>
        <w:tc>
          <w:tcPr>
            <w:tcW w:w="2916"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知识能力要求</w:t>
            </w:r>
          </w:p>
        </w:tc>
        <w:tc>
          <w:tcPr>
            <w:tcW w:w="2448"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执裁/教学工作经历</w:t>
            </w:r>
          </w:p>
        </w:tc>
        <w:tc>
          <w:tcPr>
            <w:tcW w:w="1560"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专业技术职称（职业资格等级）</w:t>
            </w:r>
          </w:p>
        </w:tc>
        <w:tc>
          <w:tcPr>
            <w:tcW w:w="732"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人数/工位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1</w:t>
            </w:r>
          </w:p>
        </w:tc>
        <w:tc>
          <w:tcPr>
            <w:tcW w:w="975"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汽车动力及底盘电控系统故障检修</w:t>
            </w:r>
          </w:p>
        </w:tc>
        <w:tc>
          <w:tcPr>
            <w:tcW w:w="2916"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能够熟练掌握纯电动或混合动力汽车“三电”系统及底盘电控系统的结构和控制逻辑；能高压电防护；会万用表、故障检测仪、示波器等常用诊断设备使用</w:t>
            </w:r>
          </w:p>
        </w:tc>
        <w:tc>
          <w:tcPr>
            <w:tcW w:w="2448"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在省级及以上汽车技术竞赛中具有执裁经验或指导学生获二等奖以上指导教师，同类赛项省级或国家级优秀指导老师优先</w:t>
            </w:r>
          </w:p>
        </w:tc>
        <w:tc>
          <w:tcPr>
            <w:tcW w:w="1560"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讲师及以上职称，或高级技师（高级工程师）</w:t>
            </w:r>
          </w:p>
        </w:tc>
        <w:tc>
          <w:tcPr>
            <w:tcW w:w="732"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dxa"/>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2</w:t>
            </w:r>
          </w:p>
        </w:tc>
        <w:tc>
          <w:tcPr>
            <w:tcW w:w="975"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发动机及车身电控系统检修</w:t>
            </w:r>
          </w:p>
        </w:tc>
        <w:tc>
          <w:tcPr>
            <w:tcW w:w="2916"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能够熟练掌握燃油车或混合动力汽车发动机控制系统和车身电控系统的结构和控制逻辑，能高压电防护；会万用表、故障检测仪、示波器等常用检测设备使用</w:t>
            </w:r>
          </w:p>
        </w:tc>
        <w:tc>
          <w:tcPr>
            <w:tcW w:w="2448"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在省级及以上汽车技术竞赛中具有执裁经验或指导学生获二等奖以上指导教师，同类赛项省级或国家级优秀指导老师优先</w:t>
            </w:r>
          </w:p>
        </w:tc>
        <w:tc>
          <w:tcPr>
            <w:tcW w:w="1560"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讲师及以上职称，或高级技师（高级工程师）</w:t>
            </w:r>
          </w:p>
        </w:tc>
        <w:tc>
          <w:tcPr>
            <w:tcW w:w="732" w:type="dxa"/>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579" w:type="dxa"/>
            <w:gridSpan w:val="2"/>
            <w:vAlign w:val="center"/>
          </w:tcPr>
          <w:p>
            <w:pPr>
              <w:adjustRightInd w:val="0"/>
              <w:snapToGrid w:val="0"/>
              <w:spacing w:line="360" w:lineRule="auto"/>
              <w:jc w:val="center"/>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裁判总人数</w:t>
            </w:r>
          </w:p>
        </w:tc>
        <w:tc>
          <w:tcPr>
            <w:tcW w:w="7656" w:type="dxa"/>
            <w:gridSpan w:val="4"/>
            <w:vAlign w:val="center"/>
          </w:tcPr>
          <w:p>
            <w:pPr>
              <w:adjustRightInd w:val="0"/>
              <w:snapToGrid w:val="0"/>
              <w:spacing w:line="360" w:lineRule="auto"/>
              <w:jc w:val="both"/>
              <w:rPr>
                <w:rFonts w:ascii="Times New Roman" w:hAnsi="Times New Roman" w:eastAsia="仿宋_GB2312"/>
                <w:bCs/>
                <w:color w:val="000000" w:themeColor="text1"/>
                <w:szCs w:val="21"/>
                <w:highlight w:val="none"/>
                <w14:textFill>
                  <w14:solidFill>
                    <w14:schemeClr w14:val="tx1"/>
                  </w14:solidFill>
                </w14:textFill>
              </w:rPr>
            </w:pPr>
            <w:r>
              <w:rPr>
                <w:rFonts w:ascii="Times New Roman" w:hAnsi="Times New Roman" w:eastAsia="仿宋_GB2312"/>
                <w:bCs/>
                <w:color w:val="000000" w:themeColor="text1"/>
                <w:szCs w:val="21"/>
                <w:highlight w:val="none"/>
                <w14:textFill>
                  <w14:solidFill>
                    <w14:schemeClr w14:val="tx1"/>
                  </w14:solidFill>
                </w14:textFill>
              </w:rPr>
              <w:t>共</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31</w:t>
            </w:r>
            <w:r>
              <w:rPr>
                <w:rFonts w:ascii="Times New Roman" w:hAnsi="Times New Roman" w:eastAsia="仿宋_GB2312"/>
                <w:bCs/>
                <w:color w:val="000000" w:themeColor="text1"/>
                <w:szCs w:val="21"/>
                <w:highlight w:val="none"/>
                <w14:textFill>
                  <w14:solidFill>
                    <w14:schemeClr w14:val="tx1"/>
                  </w14:solidFill>
                </w14:textFill>
              </w:rPr>
              <w:t>人：裁判长1人，加密和解密裁判2人，现场裁判</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24</w:t>
            </w:r>
            <w:r>
              <w:rPr>
                <w:rFonts w:ascii="Times New Roman" w:hAnsi="Times New Roman" w:eastAsia="仿宋_GB2312"/>
                <w:bCs/>
                <w:color w:val="000000" w:themeColor="text1"/>
                <w:szCs w:val="21"/>
                <w:highlight w:val="none"/>
                <w14:textFill>
                  <w14:solidFill>
                    <w14:schemeClr w14:val="tx1"/>
                  </w14:solidFill>
                </w14:textFill>
              </w:rPr>
              <w:t>人（根据具体工位数调整，每工位2个现场裁判），评分裁判</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4</w:t>
            </w:r>
            <w:r>
              <w:rPr>
                <w:rFonts w:ascii="Times New Roman" w:hAnsi="Times New Roman" w:eastAsia="仿宋_GB2312"/>
                <w:bCs/>
                <w:color w:val="000000" w:themeColor="text1"/>
                <w:szCs w:val="21"/>
                <w:highlight w:val="none"/>
                <w14:textFill>
                  <w14:solidFill>
                    <w14:schemeClr w14:val="tx1"/>
                  </w14:solidFill>
                </w14:textFill>
              </w:rPr>
              <w:t>人</w:t>
            </w:r>
            <w:r>
              <w:rPr>
                <w:rFonts w:hint="eastAsia" w:ascii="Times New Roman" w:hAnsi="Times New Roman" w:eastAsia="仿宋_GB2312"/>
                <w:bCs/>
                <w:color w:val="000000" w:themeColor="text1"/>
                <w:szCs w:val="21"/>
                <w:highlight w:val="none"/>
                <w:lang w:eastAsia="zh-CN"/>
                <w14:textFill>
                  <w14:solidFill>
                    <w14:schemeClr w14:val="tx1"/>
                  </w14:solidFill>
                </w14:textFill>
              </w:rPr>
              <w:t>（</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含</w:t>
            </w:r>
            <w:r>
              <w:rPr>
                <w:rFonts w:ascii="Times New Roman" w:hAnsi="Times New Roman" w:eastAsia="仿宋_GB2312"/>
                <w:bCs/>
                <w:color w:val="000000" w:themeColor="text1"/>
                <w:szCs w:val="21"/>
                <w:highlight w:val="none"/>
                <w14:textFill>
                  <w14:solidFill>
                    <w14:schemeClr w14:val="tx1"/>
                  </w14:solidFill>
                </w14:textFill>
              </w:rPr>
              <w:t>统分和核分裁判</w:t>
            </w:r>
            <w:r>
              <w:rPr>
                <w:rFonts w:hint="eastAsia" w:ascii="Times New Roman" w:hAnsi="Times New Roman" w:eastAsia="仿宋_GB2312"/>
                <w:bCs/>
                <w:color w:val="000000" w:themeColor="text1"/>
                <w:szCs w:val="21"/>
                <w:highlight w:val="none"/>
                <w:lang w:val="en-US" w:eastAsia="zh-CN"/>
                <w14:textFill>
                  <w14:solidFill>
                    <w14:schemeClr w14:val="tx1"/>
                  </w14:solidFill>
                </w14:textFill>
              </w:rPr>
              <w:t>）</w:t>
            </w:r>
          </w:p>
        </w:tc>
      </w:tr>
    </w:tbl>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具体要求与分工如下：</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（1）检录工作人员负责对参赛选手进行点名登记、身份核对等工作。检录工作由赛项承办院校工作人员承担。</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裁判组实行“裁判长负责制”，全面负责赛项的裁判管理工作并处理比赛中出现的争议问题。负责组织比赛，对竞赛模块的试题与评分标准对接专家组长向裁判组培训解释。裁判报到后实行封闭管理。每天比赛前1小时通过抽签方式，初步确定裁判执裁工位，裁判不能执裁同省参赛队。</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（3）裁判员根据比赛需要分为加密裁判、现场裁判、评分裁判。</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①</w:t>
      </w:r>
      <w:r>
        <w:rPr>
          <w:rFonts w:ascii="Times New Roman" w:hAnsi="Times New Roman" w:eastAsia="仿宋_GB2312"/>
          <w:color w:val="000000" w:themeColor="text1"/>
          <w:sz w:val="24"/>
          <w:szCs w:val="24"/>
          <w:highlight w:val="none"/>
          <w14:textFill>
            <w14:solidFill>
              <w14:schemeClr w14:val="tx1"/>
            </w14:solidFill>
          </w14:textFill>
        </w:rPr>
        <w:t>加密裁判：负责组织参赛选手抽签，对参赛队信息、抽签号等进行加密；各赛项加密裁判由赛区执委会根据赛项要求确定。同一赛项的加密裁判来自不同单位，且不得参与评分、统分和核分工作。</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②</w:t>
      </w:r>
      <w:r>
        <w:rPr>
          <w:rFonts w:ascii="Times New Roman" w:hAnsi="Times New Roman" w:eastAsia="仿宋_GB2312"/>
          <w:color w:val="000000" w:themeColor="text1"/>
          <w:sz w:val="24"/>
          <w:szCs w:val="24"/>
          <w:highlight w:val="none"/>
          <w14:textFill>
            <w14:solidFill>
              <w14:schemeClr w14:val="tx1"/>
            </w14:solidFill>
          </w14:textFill>
        </w:rPr>
        <w:t>现场裁判：按规定做好赛场记录，维护赛场纪律，评判参赛选手的现场作业。</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③</w:t>
      </w:r>
      <w:r>
        <w:rPr>
          <w:rFonts w:ascii="Times New Roman" w:hAnsi="Times New Roman" w:eastAsia="仿宋_GB2312"/>
          <w:color w:val="000000" w:themeColor="text1"/>
          <w:sz w:val="24"/>
          <w:szCs w:val="24"/>
          <w:highlight w:val="none"/>
          <w14:textFill>
            <w14:solidFill>
              <w14:schemeClr w14:val="tx1"/>
            </w14:solidFill>
          </w14:textFill>
        </w:rPr>
        <w:t>评分裁判：负责对参赛选手的报告单按赛项评分标准进行评定，并负责核分和统分工作。</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④</w:t>
      </w:r>
      <w:r>
        <w:rPr>
          <w:rFonts w:ascii="Times New Roman" w:hAnsi="Times New Roman" w:eastAsia="仿宋_GB2312"/>
          <w:color w:val="000000" w:themeColor="text1"/>
          <w:sz w:val="24"/>
          <w:szCs w:val="24"/>
          <w:highlight w:val="none"/>
          <w14:textFill>
            <w14:solidFill>
              <w14:schemeClr w14:val="tx1"/>
            </w14:solidFill>
          </w14:textFill>
        </w:rPr>
        <w:t>监督仲裁组对裁判组的工作进行全程监督，并对竞赛成绩抽检复核；接受由参赛队领队提出的对裁判结果的申诉，组织复议并及时反馈复议结果。</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（三）成绩评分</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1.过程评判</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现场裁判依据现场评判表，对参赛选手竞赛过程的人物安全、设备使用、操作规范、职业素养进行评判。评判结果由现场执裁裁判员签字确认。</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2.结果评分</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评分裁判根据现场评判表、参赛选手提交的报告单，依据评分标准进行评分、统分和核分。评分结果由评分裁判员、统分和核分裁判员签字确认。</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3.解密</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在监督仲裁组监督下，由裁判长指定解密裁判启封检录抽签一次加密档案、二次加密档案，找出各参赛队与场次工位对应关系；将竞赛结果分别由场次工位号转换为参赛队，然后进行分值排序，打印封装。</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4.总成绩排序</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 xml:space="preserve">总成绩为两个竞赛模块成绩之和。竞赛成绩相同时，以完成全部竞赛模块所用总时间少的名次在前；竞赛总成绩和完成全部竞赛模块所用总时间均相同时，按模块 A 赛项成绩进行排序的名次在前；竞赛成绩再相同时， 按模块 A 任务一赛项成绩进行排序。 </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5.抽检复核</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为保障成绩统计的准确性，监督仲裁组对赛项总成绩排名前30%的所有参赛队的成绩进行复核；对其余成绩进行抽检复核，抽检覆盖率不得低于15%。监督仲裁组将复检中发现的错误通过书面方式及时告知裁判长，由裁判长更正成绩并签字确认。错误率超过5%的，则认定为非小概率事件，裁判组需对所有成绩进行复核。</w:t>
      </w:r>
    </w:p>
    <w:p>
      <w:pPr>
        <w:spacing w:line="360" w:lineRule="auto"/>
        <w:ind w:left="562"/>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6.成绩管理</w:t>
      </w:r>
    </w:p>
    <w:p>
      <w:pPr>
        <w:spacing w:line="360" w:lineRule="auto"/>
        <w:ind w:firstLine="480" w:firstLineChars="200"/>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按照职业院校技能大赛制度汇编中成绩管理办法明确要求，严禁参赛选手、赛项裁判（含裁判长）、专家组成员、工作人员私自携带通讯、摄录设备进入比赛场地。赛场可根据需要配置安检设备，对进入赛场重要部位的人员进行安检，可在赛场相关区域安置无线信息屏蔽设备。赛项裁判应在检录前与参赛选手隔离。参赛选手的成绩评定与管理按照严密的程序进行。成绩管理流程见图2。</w:t>
      </w:r>
    </w:p>
    <w:p>
      <w:pPr>
        <w:pStyle w:val="9"/>
        <w:spacing w:after="0"/>
        <w:ind w:left="0" w:leftChars="0" w:firstLine="0" w:firstLineChars="0"/>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drawing>
          <wp:inline distT="0" distB="0" distL="0" distR="0">
            <wp:extent cx="4316095" cy="4243070"/>
            <wp:effectExtent l="0" t="0" r="1206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16095" cy="4243070"/>
                    </a:xfrm>
                    <a:prstGeom prst="rect">
                      <a:avLst/>
                    </a:prstGeom>
                    <a:noFill/>
                    <a:ln>
                      <a:noFill/>
                    </a:ln>
                    <a:effectLst/>
                  </pic:spPr>
                </pic:pic>
              </a:graphicData>
            </a:graphic>
          </wp:inline>
        </w:drawing>
      </w:r>
    </w:p>
    <w:p>
      <w:pPr>
        <w:pStyle w:val="9"/>
        <w:spacing w:after="0"/>
        <w:ind w:left="0" w:leftChars="0" w:firstLine="0" w:firstLineChars="0"/>
        <w:rPr>
          <w:rFonts w:ascii="Times New Roman" w:hAnsi="Times New Roman"/>
          <w:color w:val="000000" w:themeColor="text1"/>
          <w:highlight w:val="none"/>
          <w14:textFill>
            <w14:solidFill>
              <w14:schemeClr w14:val="tx1"/>
            </w14:solidFill>
          </w14:textFill>
        </w:rPr>
      </w:pPr>
    </w:p>
    <w:p>
      <w:pPr>
        <w:pStyle w:val="9"/>
        <w:ind w:left="0" w:leftChars="0" w:firstLine="0" w:firstLineChars="0"/>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黑体"/>
          <w:color w:val="000000" w:themeColor="text1"/>
          <w:sz w:val="24"/>
          <w:highlight w:val="none"/>
          <w14:textFill>
            <w14:solidFill>
              <w14:schemeClr w14:val="tx1"/>
            </w14:solidFill>
          </w14:textFill>
        </w:rPr>
        <w:t>图2 成绩管理流程</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（四）成绩公布</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1.公示。所有竞赛结束后记分员将解密后的各参赛队成绩汇总成最终成绩单，经裁判长、监督仲裁组组长签字后进行公示。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ascii="黑体" w:hAnsi="宋体" w:eastAsia="黑体" w:cs="黑体"/>
          <w:color w:val="000000"/>
          <w:kern w:val="0"/>
          <w:sz w:val="24"/>
          <w:szCs w:val="24"/>
          <w:highlight w:val="none"/>
          <w:lang w:val="en-US" w:eastAsia="zh-CN" w:bidi="ar"/>
        </w:rPr>
      </w:pPr>
      <w:r>
        <w:rPr>
          <w:rFonts w:ascii="Times New Roman" w:hAnsi="Times New Roman" w:eastAsia="仿宋_GB2312"/>
          <w:color w:val="000000" w:themeColor="text1"/>
          <w:sz w:val="24"/>
          <w:szCs w:val="24"/>
          <w:highlight w:val="none"/>
          <w14:textFill>
            <w14:solidFill>
              <w14:schemeClr w14:val="tx1"/>
            </w14:solidFill>
          </w14:textFill>
        </w:rPr>
        <w:t>2.报送。由赛务信息员将签字的纸质打印成绩单报送赛项执委会和大赛执委会办公室。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十</w:t>
      </w:r>
      <w:r>
        <w:rPr>
          <w:rFonts w:hint="eastAsia" w:ascii="黑体" w:hAnsi="宋体" w:eastAsia="黑体" w:cs="黑体"/>
          <w:color w:val="000000"/>
          <w:kern w:val="0"/>
          <w:sz w:val="24"/>
          <w:szCs w:val="24"/>
          <w:highlight w:val="none"/>
          <w:lang w:val="en-US" w:eastAsia="zh-CN" w:bidi="ar"/>
        </w:rPr>
        <w:t>二</w:t>
      </w:r>
      <w:r>
        <w:rPr>
          <w:rFonts w:ascii="黑体" w:hAnsi="宋体" w:eastAsia="黑体" w:cs="黑体"/>
          <w:color w:val="000000"/>
          <w:kern w:val="0"/>
          <w:sz w:val="24"/>
          <w:szCs w:val="24"/>
          <w:highlight w:val="none"/>
          <w:lang w:val="en-US" w:eastAsia="zh-CN" w:bidi="ar"/>
        </w:rPr>
        <w:t>、赛</w:t>
      </w:r>
      <w:r>
        <w:rPr>
          <w:rFonts w:hint="eastAsia" w:ascii="黑体" w:hAnsi="宋体" w:eastAsia="黑体" w:cs="黑体"/>
          <w:color w:val="000000"/>
          <w:kern w:val="0"/>
          <w:sz w:val="24"/>
          <w:szCs w:val="24"/>
          <w:highlight w:val="none"/>
          <w:lang w:val="en-US" w:eastAsia="zh-CN" w:bidi="ar"/>
        </w:rPr>
        <w:t>场</w:t>
      </w:r>
      <w:r>
        <w:rPr>
          <w:rFonts w:ascii="黑体" w:hAnsi="宋体" w:eastAsia="黑体" w:cs="黑体"/>
          <w:color w:val="000000"/>
          <w:kern w:val="0"/>
          <w:sz w:val="24"/>
          <w:szCs w:val="24"/>
          <w:highlight w:val="none"/>
          <w:lang w:val="en-US" w:eastAsia="zh-CN" w:bidi="ar"/>
        </w:rPr>
        <w:t>预案</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1.赛场配备技术人员，当车辆、设备等出现问题时，技术人员可第一时间提供专业技术支持。赛场备用应急发电、空气压缩机设备、消防车等设施，保证水、电、气、耗材用品等的连续供应，并做好应对突发事件的准备。</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2.竞赛现场配置安全通道，当出现火情或其他灾害情况，工作人员应立即向保卫组汇报，保卫组接报后要火速到达现场并配合消防队员和公安干警，指挥人员疏散到安全区域并及时处置现场状况。</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3.竞赛过程中出现设备断电、故障等意外时，现场裁判需及时确认情况，安排技术支持人员进行处理，现场裁判登记详细情况，填写补时登记表，报裁判长批准后，可安排延长补足相应选手的比赛时间。</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4.赛场布置2个备用工位，与其他竞赛工位间隔至少1个工位的宽度布置。</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5.当出现非选手原因设备断电、故障等意外时，经现场裁判认可，裁判长确认予以安排备用工位进行比赛。</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6.赛场设有应急医疗点，用于参赛选手突发身体不适（如发热、咳嗽等）</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7.出现碰伤、划伤等意外情况的应急处理；如应急医疗点检测参赛选手可以继续比赛，经裁判长确认予以安排原工位或备用工位进行比赛。如参赛选手不能继续参加比赛，必要时可联系120急救车。</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8.比赛期间发生意外事故，应第一时间报告赛项执委会，同时采取措施避免事态扩大。赛项出现重大安全问题可以停赛，是否停赛由赛区执委会决定。事后赛区执委会应向大赛执委会报告详细情况。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十</w:t>
      </w:r>
      <w:r>
        <w:rPr>
          <w:rFonts w:hint="eastAsia" w:ascii="黑体" w:hAnsi="宋体" w:eastAsia="黑体" w:cs="黑体"/>
          <w:color w:val="000000"/>
          <w:kern w:val="0"/>
          <w:sz w:val="24"/>
          <w:szCs w:val="24"/>
          <w:highlight w:val="none"/>
          <w:lang w:val="en-US" w:eastAsia="zh-CN" w:bidi="ar"/>
        </w:rPr>
        <w:t>三</w:t>
      </w:r>
      <w:r>
        <w:rPr>
          <w:rFonts w:ascii="黑体" w:hAnsi="宋体" w:eastAsia="黑体" w:cs="黑体"/>
          <w:color w:val="000000"/>
          <w:kern w:val="0"/>
          <w:sz w:val="24"/>
          <w:szCs w:val="24"/>
          <w:highlight w:val="none"/>
          <w:lang w:val="en-US" w:eastAsia="zh-CN" w:bidi="ar"/>
        </w:rPr>
        <w:t>、申诉与仲裁</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大赛采取二级仲裁机制。设高职组“汽车</w:t>
      </w: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故障检修</w:t>
      </w:r>
      <w:r>
        <w:rPr>
          <w:rFonts w:hint="eastAsia" w:ascii="Times New Roman" w:hAnsi="Times New Roman" w:eastAsia="仿宋_GB2312"/>
          <w:color w:val="000000" w:themeColor="text1"/>
          <w:sz w:val="24"/>
          <w:szCs w:val="24"/>
          <w:highlight w:val="none"/>
          <w14:textFill>
            <w14:solidFill>
              <w14:schemeClr w14:val="tx1"/>
            </w14:solidFill>
          </w14:textFill>
        </w:rPr>
        <w:t>”赛项仲裁工作组，大赛执委会设仲裁委员会。各参赛队对不符合大赛和赛项规程规定的仪器、设备、工装、材料、物件、计算机软硬件、竞赛使用工具、用品，竞赛执裁、赛场管理，以及工作人员的不规范行为等，可向赛项仲裁工作组提出申诉。申诉主体为参赛队领队。申诉启动时，领队向赛项仲裁工作组递交亲笔签字同意的书面申诉报告。申诉报告应对申诉事件的现象、发生时间、涉及人员、申诉依据等进行充分、实事求是的叙述。非书面申诉不予受理。</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提出申诉的时间应在竞赛结束后（选手赛场竞赛内容全部完成）2小时内。超过时效不予受理。赛项仲裁工作组在接到申诉报告后的2小时内组织复议，并及时将复议结果以书面形式告知申诉方。申诉方对复议结果仍有异议，可由参赛院校领队向仲裁委员会提出申诉。仲裁委员会的仲裁结果为最终结果。申诉方可随时提出放弃申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十</w:t>
      </w:r>
      <w:r>
        <w:rPr>
          <w:rFonts w:hint="eastAsia" w:ascii="黑体" w:hAnsi="宋体" w:eastAsia="黑体" w:cs="黑体"/>
          <w:color w:val="000000"/>
          <w:kern w:val="0"/>
          <w:sz w:val="24"/>
          <w:szCs w:val="24"/>
          <w:highlight w:val="none"/>
          <w:lang w:val="en-US" w:eastAsia="zh-CN" w:bidi="ar"/>
        </w:rPr>
        <w:t>四</w:t>
      </w:r>
      <w:r>
        <w:rPr>
          <w:rFonts w:ascii="黑体" w:hAnsi="宋体" w:eastAsia="黑体" w:cs="黑体"/>
          <w:color w:val="000000"/>
          <w:kern w:val="0"/>
          <w:sz w:val="24"/>
          <w:szCs w:val="24"/>
          <w:highlight w:val="none"/>
          <w:lang w:val="en-US" w:eastAsia="zh-CN" w:bidi="ar"/>
        </w:rPr>
        <w:t>、竞赛观摩</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竞赛采取“适度集中、有限开放”的办赛模式，通过赛场实时监控画面，可实现远程观摩比赛，进一步扩大大赛的引领示范作用，提升大赛影响力。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十</w:t>
      </w:r>
      <w:r>
        <w:rPr>
          <w:rFonts w:hint="eastAsia" w:ascii="黑体" w:hAnsi="宋体" w:eastAsia="黑体" w:cs="黑体"/>
          <w:color w:val="000000"/>
          <w:kern w:val="0"/>
          <w:sz w:val="24"/>
          <w:szCs w:val="24"/>
          <w:highlight w:val="none"/>
          <w:lang w:val="en-US" w:eastAsia="zh-CN" w:bidi="ar"/>
        </w:rPr>
        <w:t>五</w:t>
      </w:r>
      <w:r>
        <w:rPr>
          <w:rFonts w:ascii="黑体" w:hAnsi="宋体" w:eastAsia="黑体" w:cs="黑体"/>
          <w:color w:val="000000"/>
          <w:kern w:val="0"/>
          <w:sz w:val="24"/>
          <w:szCs w:val="24"/>
          <w:highlight w:val="none"/>
          <w:lang w:val="en-US" w:eastAsia="zh-CN" w:bidi="ar"/>
        </w:rPr>
        <w:t>、竞赛直播</w:t>
      </w:r>
    </w:p>
    <w:p>
      <w:pPr>
        <w:spacing w:line="360" w:lineRule="auto"/>
        <w:ind w:firstLine="480" w:firstLineChars="200"/>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赛项全程录像，同步直播。赛场内部署无盲点录像设备，实时录制并播送赛场情况；赛场外通过大屏幕或投影，实时展示赛场内竞赛状况。各参赛代表队均可通过多媒体设备和网络设备，同步观看比赛场面。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outlineLvl w:val="0"/>
        <w:rPr>
          <w:rFonts w:ascii="黑体" w:hAnsi="宋体" w:eastAsia="黑体" w:cs="黑体"/>
          <w:color w:val="000000"/>
          <w:kern w:val="0"/>
          <w:sz w:val="24"/>
          <w:szCs w:val="24"/>
          <w:highlight w:val="none"/>
          <w:lang w:val="en-US" w:eastAsia="zh-CN" w:bidi="ar"/>
        </w:rPr>
      </w:pPr>
      <w:r>
        <w:rPr>
          <w:rFonts w:ascii="黑体" w:hAnsi="宋体" w:eastAsia="黑体" w:cs="黑体"/>
          <w:color w:val="000000"/>
          <w:kern w:val="0"/>
          <w:sz w:val="24"/>
          <w:szCs w:val="24"/>
          <w:highlight w:val="none"/>
          <w:lang w:val="en-US" w:eastAsia="zh-CN" w:bidi="ar"/>
        </w:rPr>
        <w:t>十</w:t>
      </w:r>
      <w:r>
        <w:rPr>
          <w:rFonts w:hint="eastAsia" w:ascii="黑体" w:hAnsi="宋体" w:eastAsia="黑体" w:cs="黑体"/>
          <w:color w:val="000000"/>
          <w:kern w:val="0"/>
          <w:sz w:val="24"/>
          <w:szCs w:val="24"/>
          <w:highlight w:val="none"/>
          <w:lang w:val="en-US" w:eastAsia="zh-CN" w:bidi="ar"/>
        </w:rPr>
        <w:t>六</w:t>
      </w:r>
      <w:r>
        <w:rPr>
          <w:rFonts w:ascii="黑体" w:hAnsi="宋体" w:eastAsia="黑体" w:cs="黑体"/>
          <w:color w:val="000000"/>
          <w:kern w:val="0"/>
          <w:sz w:val="24"/>
          <w:szCs w:val="24"/>
          <w:highlight w:val="none"/>
          <w:lang w:val="en-US" w:eastAsia="zh-CN" w:bidi="ar"/>
        </w:rPr>
        <w:t>、竞赛须知</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（一）参赛队须知</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1.各参赛队须为参赛选手购买大赛期间的人身意外伤害保险。</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2.各参赛队须对参赛选手、指导教师、领队进行安全管理和维稳教育，在比赛期间需保持通信畅通。</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3.对申诉的仲裁结果，领队和指导教师应带头服从和执行，还应说服参赛选手服从和执行。凡恶意申诉，一经查实，组委会将追查相关人员责任。</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4.领队负责做好本参赛队比赛期间的管理与组织工作。</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5.执行大赛各项规定。各参赛队领队、指导教师在比赛前和比赛期间不允许私自接触裁判，不得以任何形式影响裁判人员的评判。</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6.指定一名领队或指导教师准时参加赛前领队会议，进行抽签确定竞赛当日抽签顺序，并认真传达落实会议精神。</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bookmarkStart w:id="2" w:name="（二）指导教师须知"/>
      <w:bookmarkEnd w:id="2"/>
      <w:r>
        <w:rPr>
          <w:rFonts w:hint="eastAsia" w:ascii="仿宋_GB2312" w:hAnsi="仿宋_GB2312" w:eastAsia="仿宋_GB2312" w:cs="仿宋_GB2312"/>
          <w:b/>
          <w:bCs/>
          <w:color w:val="000000" w:themeColor="text1"/>
          <w:sz w:val="24"/>
          <w:szCs w:val="24"/>
          <w:highlight w:val="none"/>
          <w14:textFill>
            <w14:solidFill>
              <w14:schemeClr w14:val="tx1"/>
            </w14:solidFill>
          </w14:textFill>
        </w:rPr>
        <w:t>（二）指导教师须知</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1.各代表队指导教师要坚决执行比赛的各项规定，指导选手做好赛前的一切准备工作，不得以任何理由影响比赛正常进行。</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2</w:t>
      </w:r>
      <w:r>
        <w:rPr>
          <w:rFonts w:hint="eastAsia" w:ascii="Times New Roman" w:hAnsi="Times New Roman" w:eastAsia="仿宋_GB2312"/>
          <w:color w:val="000000" w:themeColor="text1"/>
          <w:sz w:val="24"/>
          <w:szCs w:val="24"/>
          <w:highlight w:val="none"/>
          <w14:textFill>
            <w14:solidFill>
              <w14:schemeClr w14:val="tx1"/>
            </w14:solidFill>
          </w14:textFill>
        </w:rPr>
        <w:t>.对申诉的仲裁结果，指导教师应带头服从和执行，还应说服选手服从和执行。</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3</w:t>
      </w:r>
      <w:r>
        <w:rPr>
          <w:rFonts w:hint="eastAsia" w:ascii="Times New Roman" w:hAnsi="Times New Roman" w:eastAsia="仿宋_GB2312"/>
          <w:color w:val="000000" w:themeColor="text1"/>
          <w:sz w:val="24"/>
          <w:szCs w:val="24"/>
          <w:highlight w:val="none"/>
          <w14:textFill>
            <w14:solidFill>
              <w14:schemeClr w14:val="tx1"/>
            </w14:solidFill>
          </w14:textFill>
        </w:rPr>
        <w:t>.指导教师应认真研究和掌握本赛项比赛的技术规则和赛场要求，对参赛选手做好安全和纪律教育。</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bookmarkStart w:id="3" w:name="（三）参赛选手须知"/>
      <w:bookmarkEnd w:id="3"/>
      <w:r>
        <w:rPr>
          <w:rFonts w:hint="eastAsia" w:ascii="仿宋_GB2312" w:hAnsi="仿宋_GB2312" w:eastAsia="仿宋_GB2312" w:cs="仿宋_GB2312"/>
          <w:b/>
          <w:bCs/>
          <w:color w:val="000000" w:themeColor="text1"/>
          <w:sz w:val="24"/>
          <w:szCs w:val="24"/>
          <w:highlight w:val="none"/>
          <w14:textFill>
            <w14:solidFill>
              <w14:schemeClr w14:val="tx1"/>
            </w14:solidFill>
          </w14:textFill>
        </w:rPr>
        <w:t>（三）参赛选手须知</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1.参赛选手应严格遵守竞赛规则和竞赛纪律，服从裁判员和竞赛工作人员的统一指挥安排，自觉维护赛场秩序，不得因申诉或对处理意见不服而停止竞赛，否则以弃权处理。</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2.参赛选手须文明竞赛，接受裁判的监督和警示。</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3.参赛选手必须持本人身份证、并佩戴组委会签发的参赛证件；在赛前60分钟到达赛场进行检录、抽取赛位号，进行赛前准备，等候比赛开始指令。正式竞赛开始尚未检录的选手，不得参加竞赛。已检录入场的参赛选手未经允许，不得擅自离开。</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4.选手进入赛场不得携带任何纸质资料、通讯工具、电子书、存储设备、照相及录像设备等。</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5.选手在收到开赛信号前不得启动操作；若结束比赛，应向裁判举手示意，由裁判记录比赛结束时间；比赛结束后，不得再进行任何与比赛有关的操作。</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6.在比赛中如遇非人为因素造成的器材故障，应及时向裁判反映，经裁判确认后，可向裁判长申请补足排除故障的时间。</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7.比赛结束后，应按要求向裁判提交选手报告单。</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8.参赛选手应注意安全，必须穿安全鞋（自备绝缘鞋）。着装须符合安全生产及竞赛要求。</w:t>
      </w:r>
    </w:p>
    <w:p>
      <w:pPr>
        <w:spacing w:line="360" w:lineRule="auto"/>
        <w:ind w:left="562"/>
        <w:rPr>
          <w:rFonts w:hint="eastAsia" w:ascii="仿宋_GB2312" w:hAnsi="仿宋_GB2312" w:eastAsia="仿宋_GB2312" w:cs="仿宋_GB2312"/>
          <w:b/>
          <w:bCs/>
          <w:color w:val="000000" w:themeColor="text1"/>
          <w:sz w:val="24"/>
          <w:szCs w:val="24"/>
          <w:highlight w:val="none"/>
          <w14:textFill>
            <w14:solidFill>
              <w14:schemeClr w14:val="tx1"/>
            </w14:solidFill>
          </w14:textFill>
        </w:rPr>
      </w:pPr>
      <w:bookmarkStart w:id="4" w:name="（四）工作人员须知"/>
      <w:bookmarkEnd w:id="4"/>
      <w:r>
        <w:rPr>
          <w:rFonts w:hint="eastAsia" w:ascii="仿宋_GB2312" w:hAnsi="仿宋_GB2312" w:eastAsia="仿宋_GB2312" w:cs="仿宋_GB2312"/>
          <w:b/>
          <w:bCs/>
          <w:color w:val="000000" w:themeColor="text1"/>
          <w:sz w:val="24"/>
          <w:szCs w:val="24"/>
          <w:highlight w:val="none"/>
          <w14:textFill>
            <w14:solidFill>
              <w14:schemeClr w14:val="tx1"/>
            </w14:solidFill>
          </w14:textFill>
        </w:rPr>
        <w:t>（四）工作人员须知</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1.工作人员必须服从统一领导，严格遵守竞赛纪律及时间安排，严守工作岗位，不得无故离岗。</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2.工作人员必须着装整齐，统一佩戴由大赛组委会签发的相应证件，精神饱满、热情服务。</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3.熟悉赛项指南，严格按照工作程序和有关规定办事，遇突发事件，按照安全工作预案，组织指挥人员疏散，确保人员安全。</w:t>
      </w:r>
    </w:p>
    <w:p>
      <w:pPr>
        <w:spacing w:line="360" w:lineRule="auto"/>
        <w:ind w:firstLine="480" w:firstLineChars="200"/>
        <w:rPr>
          <w:rFonts w:hint="eastAsia"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4.工作人员未经允许不得随意进入比赛现场。</w:t>
      </w:r>
    </w:p>
    <w:p>
      <w:pPr>
        <w:spacing w:after="240" w:afterLines="100"/>
        <w:rPr>
          <w:rFonts w:ascii="Times New Roman" w:hAnsi="Times New Roman" w:eastAsia="黑体"/>
          <w:color w:val="000000" w:themeColor="text1"/>
          <w:sz w:val="32"/>
          <w:szCs w:val="32"/>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br w:type="page"/>
      </w:r>
      <w:r>
        <w:rPr>
          <w:rFonts w:ascii="Times New Roman" w:hAnsi="Times New Roman"/>
          <w:b/>
          <w:bCs/>
          <w:color w:val="000000" w:themeColor="text1"/>
          <w:sz w:val="28"/>
          <w:szCs w:val="28"/>
          <w:highlight w:val="none"/>
          <w14:textFill>
            <w14:solidFill>
              <w14:schemeClr w14:val="tx1"/>
            </w14:solidFill>
          </w14:textFill>
        </w:rPr>
        <w:drawing>
          <wp:anchor distT="0" distB="0" distL="114300" distR="114300" simplePos="0" relativeHeight="251661312" behindDoc="1" locked="0" layoutInCell="1" allowOverlap="1">
            <wp:simplePos x="0" y="0"/>
            <wp:positionH relativeFrom="page">
              <wp:posOffset>8485505</wp:posOffset>
            </wp:positionH>
            <wp:positionV relativeFrom="paragraph">
              <wp:posOffset>-490855</wp:posOffset>
            </wp:positionV>
            <wp:extent cx="1300480" cy="1300480"/>
            <wp:effectExtent l="0" t="0" r="0" b="0"/>
            <wp:wrapNone/>
            <wp:docPr id="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b/>
          <w:bCs/>
          <w:color w:val="000000" w:themeColor="text1"/>
          <w:sz w:val="28"/>
          <w:szCs w:val="28"/>
          <w:highlight w:val="none"/>
          <w14:textFill>
            <w14:solidFill>
              <w14:schemeClr w14:val="tx1"/>
            </w14:solidFill>
          </w14:textFill>
        </w:rPr>
        <w:t>附件1</w:t>
      </w:r>
    </w:p>
    <w:p>
      <w:pPr>
        <w:pStyle w:val="5"/>
        <w:rPr>
          <w:rFonts w:ascii="Times New Roman" w:hAnsi="Times New Roman"/>
          <w:color w:val="000000" w:themeColor="text1"/>
          <w:highlight w:val="none"/>
          <w14:textFill>
            <w14:solidFill>
              <w14:schemeClr w14:val="tx1"/>
            </w14:solidFill>
          </w14:textFill>
        </w:rPr>
      </w:pPr>
    </w:p>
    <w:p>
      <w:pPr>
        <w:tabs>
          <w:tab w:val="left" w:pos="9360"/>
        </w:tabs>
        <w:snapToGrid w:val="0"/>
        <w:spacing w:line="276" w:lineRule="auto"/>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val="en-US"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adjustRightInd w:val="0"/>
        <w:snapToGrid w:val="0"/>
        <w:jc w:val="center"/>
        <w:rPr>
          <w:rFonts w:ascii="Times New Roman" w:hAnsi="Times New Roman" w:eastAsia="仿宋_GB2312"/>
          <w:b/>
          <w:bCs/>
          <w:color w:val="000000" w:themeColor="text1"/>
          <w:sz w:val="28"/>
          <w:szCs w:val="28"/>
          <w:highlight w:val="none"/>
          <w:lang w:val="fr-FR"/>
          <w14:textFill>
            <w14:solidFill>
              <w14:schemeClr w14:val="tx1"/>
            </w14:solidFill>
          </w14:textFill>
        </w:rPr>
      </w:pPr>
    </w:p>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《模块A汽车动力及底盘电控系统故障检修》</w:t>
      </w:r>
      <w:r>
        <w:rPr>
          <w:rFonts w:ascii="Times New Roman" w:hAnsi="Times New Roman" w:eastAsia="仿宋_GB2312"/>
          <w:b/>
          <w:bCs/>
          <w:color w:val="000000" w:themeColor="text1"/>
          <w:sz w:val="28"/>
          <w:szCs w:val="28"/>
          <w:highlight w:val="none"/>
          <w:lang w:val="fr-FR"/>
          <w14:textFill>
            <w14:solidFill>
              <w14:schemeClr w14:val="tx1"/>
            </w14:solidFill>
          </w14:textFill>
        </w:rPr>
        <w:t>选手报告单</w:t>
      </w:r>
    </w:p>
    <w:tbl>
      <w:tblPr>
        <w:tblStyle w:val="10"/>
        <w:tblpPr w:leftFromText="180" w:rightFromText="180" w:vertAnchor="text" w:horzAnchor="page" w:tblpXSpec="center" w:tblpY="506"/>
        <w:tblOverlap w:val="never"/>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700"/>
        <w:gridCol w:w="1558"/>
        <w:gridCol w:w="1442"/>
        <w:gridCol w:w="824"/>
        <w:gridCol w:w="852"/>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选手参赛号</w:t>
            </w:r>
          </w:p>
        </w:tc>
        <w:tc>
          <w:tcPr>
            <w:tcW w:w="17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裁判长审核</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8" w:type="dxa"/>
            <w:vMerge w:val="restart"/>
            <w:tcBorders>
              <w:top w:val="single" w:color="000000" w:sz="8" w:space="0"/>
              <w:left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车辆信息登记</w:t>
            </w:r>
          </w:p>
        </w:tc>
        <w:tc>
          <w:tcPr>
            <w:tcW w:w="1700"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widowControl/>
              <w:suppressLineNumbers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00"/>
                <w:kern w:val="0"/>
                <w:sz w:val="18"/>
                <w:szCs w:val="18"/>
                <w:highlight w:val="none"/>
                <w:lang w:val="en-US" w:eastAsia="zh-CN" w:bidi="ar"/>
              </w:rPr>
              <w:t xml:space="preserve">※整车型号、 </w:t>
            </w:r>
          </w:p>
          <w:p>
            <w:pPr>
              <w:keepNext w:val="0"/>
              <w:keepLines w:val="0"/>
              <w:widowControl/>
              <w:suppressLineNumbers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00"/>
                <w:kern w:val="0"/>
                <w:sz w:val="18"/>
                <w:szCs w:val="18"/>
                <w:highlight w:val="none"/>
                <w:lang w:val="en-US" w:eastAsia="zh-CN" w:bidi="ar"/>
              </w:rPr>
              <w:t xml:space="preserve">VIN码、冷却液 </w:t>
            </w:r>
          </w:p>
          <w:p>
            <w:pPr>
              <w:keepNext w:val="0"/>
              <w:keepLines w:val="0"/>
              <w:widowControl/>
              <w:suppressLineNumbers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00"/>
                <w:kern w:val="0"/>
                <w:sz w:val="18"/>
                <w:szCs w:val="18"/>
                <w:highlight w:val="none"/>
                <w:lang w:val="en-US" w:eastAsia="zh-CN" w:bidi="ar"/>
              </w:rPr>
              <w:t xml:space="preserve">温度表、里程表 </w:t>
            </w:r>
          </w:p>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kern w:val="0"/>
                <w:sz w:val="18"/>
                <w:szCs w:val="18"/>
                <w:highlight w:val="none"/>
                <w:lang w:val="en-US" w:eastAsia="zh-CN" w:bidi="ar"/>
              </w:rPr>
              <w:t>读数等</w:t>
            </w: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统分裁判签字</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8" w:type="dxa"/>
            <w:vMerge w:val="continue"/>
            <w:tcBorders>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700" w:type="dxa"/>
            <w:vMerge w:val="continue"/>
            <w:tcBorders>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比赛时长</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70</w:t>
            </w:r>
            <w:r>
              <w:rPr>
                <w:rFonts w:ascii="Times New Roman" w:hAnsi="Times New Roman" w:eastAsia="仿宋_GB2312"/>
                <w:color w:val="000000" w:themeColor="text1"/>
                <w:sz w:val="18"/>
                <w:szCs w:val="18"/>
                <w:highlight w:val="none"/>
                <w14:textFill>
                  <w14:solidFill>
                    <w14:schemeClr w14:val="tx1"/>
                  </w14:solidFill>
                </w14:textFill>
              </w:rPr>
              <w:t>min</w:t>
            </w: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实际用时</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项目</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内     容</w:t>
            </w:r>
          </w:p>
        </w:tc>
        <w:tc>
          <w:tcPr>
            <w:tcW w:w="824" w:type="dxa"/>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 xml:space="preserve">配分 </w:t>
            </w:r>
          </w:p>
        </w:tc>
        <w:tc>
          <w:tcPr>
            <w:tcW w:w="852" w:type="dxa"/>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得分</w:t>
            </w:r>
          </w:p>
        </w:tc>
        <w:tc>
          <w:tcPr>
            <w:tcW w:w="957" w:type="dxa"/>
            <w:tcBorders>
              <w:top w:val="single" w:color="000000" w:sz="8" w:space="0"/>
              <w:left w:val="single" w:color="auto" w:sz="4" w:space="0"/>
              <w:bottom w:val="single" w:color="000000" w:sz="8" w:space="0"/>
              <w:right w:val="single" w:color="000000" w:sz="8"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描述</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包括故障现象和故障代码</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5"/>
              <w:jc w:val="center"/>
              <w:rPr>
                <w:rFonts w:ascii="Times New Roman" w:hAnsi="Times New Roman" w:eastAsia="仿宋"/>
                <w:b/>
                <w:color w:val="000000" w:themeColor="text1"/>
                <w:sz w:val="2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5"/>
              <w:jc w:val="center"/>
              <w:rPr>
                <w:rFonts w:ascii="Times New Roman" w:hAnsi="Times New Roman" w:eastAsia="仿宋"/>
                <w:b/>
                <w:color w:val="000000" w:themeColor="text1"/>
                <w:sz w:val="2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通过分析</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得出故障</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可能原因</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结合现象及故障代码进行故障分析，并得出故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障可能原因</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维修资料</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查阅</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绘制相关电路图或原理图</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过程数据</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记录</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完成记录测试过程，直到故障排除。每一步要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求记录测试对象、测试条件、实测结果及判断。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实车测量到最小范围：元件、线路及插头、模块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按要求完成指定信号波形测试，绘制所测波形，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故障类型</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写出故障部位及故障性质后报告裁判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在电路图上指出相应电气线路（包括端子和正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确的导线）或零部件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根据裁判的指令修复故障</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故障机理</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分析</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分析故障部位及故障性质为什么会导致故障现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象</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bl>
    <w:tbl>
      <w:tblPr>
        <w:tblStyle w:val="10"/>
        <w:tblpPr w:leftFromText="180" w:rightFromText="180" w:vertAnchor="text" w:tblpX="10597" w:tblpY="-5300"/>
        <w:tblOverlap w:val="never"/>
        <w:tblW w:w="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rPr>
                <w:rFonts w:ascii="Times New Roman" w:hAnsi="Times New Roman"/>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rPr>
                <w:rFonts w:ascii="Times New Roman" w:hAnsi="Times New Roman"/>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tc>
      </w:tr>
    </w:tbl>
    <w:p>
      <w:pPr>
        <w:pStyle w:val="9"/>
        <w:ind w:left="0" w:leftChars="0" w:firstLine="0" w:firstLineChars="0"/>
        <w:rPr>
          <w:rFonts w:ascii="Times New Roman" w:hAnsi="Times New Roman"/>
          <w:color w:val="000000" w:themeColor="text1"/>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hint="eastAsia" w:ascii="Times New Roman" w:hAnsi="Times New Roman"/>
          <w:b/>
          <w:bCs/>
          <w:color w:val="000000" w:themeColor="text1"/>
          <w:sz w:val="28"/>
          <w:szCs w:val="28"/>
          <w:highlight w:val="none"/>
          <w:lang w:val="en-US" w:eastAsia="zh-CN"/>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drawing>
          <wp:anchor distT="0" distB="0" distL="114300" distR="114300" simplePos="0" relativeHeight="251664384" behindDoc="1" locked="0" layoutInCell="1" allowOverlap="1">
            <wp:simplePos x="0" y="0"/>
            <wp:positionH relativeFrom="page">
              <wp:posOffset>8485505</wp:posOffset>
            </wp:positionH>
            <wp:positionV relativeFrom="paragraph">
              <wp:posOffset>-490855</wp:posOffset>
            </wp:positionV>
            <wp:extent cx="1300480" cy="1300480"/>
            <wp:effectExtent l="0" t="0" r="10160"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b/>
          <w:bCs/>
          <w:color w:val="000000" w:themeColor="text1"/>
          <w:sz w:val="28"/>
          <w:szCs w:val="28"/>
          <w:highlight w:val="none"/>
          <w14:textFill>
            <w14:solidFill>
              <w14:schemeClr w14:val="tx1"/>
            </w14:solidFill>
          </w14:textFill>
        </w:rPr>
        <w:t>附件</w:t>
      </w:r>
      <w:r>
        <w:rPr>
          <w:rFonts w:hint="eastAsia" w:ascii="Times New Roman" w:hAnsi="Times New Roman"/>
          <w:b/>
          <w:bCs/>
          <w:color w:val="000000" w:themeColor="text1"/>
          <w:sz w:val="28"/>
          <w:szCs w:val="28"/>
          <w:highlight w:val="none"/>
          <w:lang w:val="en-US" w:eastAsia="zh-CN"/>
          <w14:textFill>
            <w14:solidFill>
              <w14:schemeClr w14:val="tx1"/>
            </w14:solidFill>
          </w14:textFill>
        </w:rPr>
        <w:t>2</w:t>
      </w:r>
    </w:p>
    <w:p>
      <w:pPr>
        <w:tabs>
          <w:tab w:val="left" w:pos="9360"/>
        </w:tabs>
        <w:adjustRightInd w:val="0"/>
        <w:snapToGrid w:val="0"/>
        <w:spacing w:line="240" w:lineRule="atLeast"/>
        <w:rPr>
          <w:rFonts w:hint="eastAsia" w:ascii="Times New Roman" w:hAnsi="Times New Roman"/>
          <w:b/>
          <w:bCs/>
          <w:color w:val="000000" w:themeColor="text1"/>
          <w:sz w:val="28"/>
          <w:szCs w:val="28"/>
          <w:highlight w:val="none"/>
          <w:lang w:val="en-US" w:eastAsia="zh-CN"/>
          <w14:textFill>
            <w14:solidFill>
              <w14:schemeClr w14:val="tx1"/>
            </w14:solidFill>
          </w14:textFill>
        </w:rPr>
      </w:pPr>
    </w:p>
    <w:p>
      <w:pPr>
        <w:tabs>
          <w:tab w:val="left" w:pos="9360"/>
        </w:tabs>
        <w:snapToGrid w:val="0"/>
        <w:spacing w:line="276" w:lineRule="auto"/>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drawing>
          <wp:anchor distT="0" distB="0" distL="114300" distR="114300" simplePos="0" relativeHeight="251659264" behindDoc="1" locked="0" layoutInCell="1" allowOverlap="1">
            <wp:simplePos x="0" y="0"/>
            <wp:positionH relativeFrom="page">
              <wp:posOffset>8485505</wp:posOffset>
            </wp:positionH>
            <wp:positionV relativeFrom="paragraph">
              <wp:posOffset>-490855</wp:posOffset>
            </wp:positionV>
            <wp:extent cx="1300480" cy="1300480"/>
            <wp:effectExtent l="0" t="0" r="0" b="0"/>
            <wp:wrapNone/>
            <wp:docPr id="1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val="en-US"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pStyle w:val="5"/>
        <w:rPr>
          <w:rFonts w:ascii="Times New Roman" w:hAnsi="Times New Roman"/>
          <w:color w:val="000000" w:themeColor="text1"/>
          <w:highlight w:val="none"/>
          <w14:textFill>
            <w14:solidFill>
              <w14:schemeClr w14:val="tx1"/>
            </w14:solidFill>
          </w14:textFill>
        </w:rPr>
      </w:pPr>
    </w:p>
    <w:p>
      <w:pPr>
        <w:adjustRightInd w:val="0"/>
        <w:snapToGrid w:val="0"/>
        <w:jc w:val="center"/>
        <w:rPr>
          <w:rFonts w:hint="eastAsia" w:ascii="Times New Roman" w:hAnsi="Times New Roman" w:eastAsia="仿宋_GB2312"/>
          <w:b/>
          <w:bCs/>
          <w:color w:val="000000" w:themeColor="text1"/>
          <w:sz w:val="28"/>
          <w:szCs w:val="28"/>
          <w:highlight w:val="none"/>
          <w:lang w:eastAsia="zh-CN"/>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《模块A汽车动力及底盘电控系统故障检修》现场评分表</w:t>
      </w:r>
      <w:r>
        <w:rPr>
          <w:rFonts w:hint="eastAsia" w:ascii="Times New Roman" w:hAnsi="Times New Roman" w:eastAsia="仿宋_GB2312"/>
          <w:b/>
          <w:bCs/>
          <w:color w:val="000000" w:themeColor="text1"/>
          <w:sz w:val="28"/>
          <w:szCs w:val="28"/>
          <w:highlight w:val="none"/>
          <w:lang w:eastAsia="zh-CN"/>
          <w14:textFill>
            <w14:solidFill>
              <w14:schemeClr w14:val="tx1"/>
            </w14:solidFill>
          </w14:textFill>
        </w:rPr>
        <w:t>（</w:t>
      </w:r>
      <w: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t>参考</w:t>
      </w:r>
      <w:r>
        <w:rPr>
          <w:rFonts w:hint="eastAsia" w:ascii="Times New Roman" w:hAnsi="Times New Roman" w:eastAsia="仿宋_GB2312"/>
          <w:b/>
          <w:bCs/>
          <w:color w:val="000000" w:themeColor="text1"/>
          <w:sz w:val="28"/>
          <w:szCs w:val="28"/>
          <w:highlight w:val="none"/>
          <w:lang w:eastAsia="zh-CN"/>
          <w14:textFill>
            <w14:solidFill>
              <w14:schemeClr w14:val="tx1"/>
            </w14:solidFill>
          </w14:textFill>
        </w:rPr>
        <w:t>）</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030"/>
        <w:gridCol w:w="1368"/>
        <w:gridCol w:w="1147"/>
        <w:gridCol w:w="2064"/>
        <w:gridCol w:w="1839"/>
        <w:gridCol w:w="654"/>
        <w:gridCol w:w="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901" w:type="pct"/>
            <w:gridSpan w:val="2"/>
            <w:vMerge w:val="restar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选手参赛号</w:t>
            </w:r>
          </w:p>
        </w:tc>
        <w:tc>
          <w:tcPr>
            <w:tcW w:w="737" w:type="pct"/>
            <w:vMerge w:val="restar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617"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11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9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裁判长抽审</w:t>
            </w:r>
          </w:p>
        </w:tc>
        <w:tc>
          <w:tcPr>
            <w:tcW w:w="641" w:type="pct"/>
            <w:gridSpan w:val="2"/>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01" w:type="pct"/>
            <w:gridSpan w:val="2"/>
            <w:vMerge w:val="continue"/>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737" w:type="pct"/>
            <w:vMerge w:val="continue"/>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617"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11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9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监督仲裁签字</w:t>
            </w:r>
          </w:p>
        </w:tc>
        <w:tc>
          <w:tcPr>
            <w:tcW w:w="641" w:type="pct"/>
            <w:gridSpan w:val="2"/>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01" w:type="pct"/>
            <w:gridSpan w:val="2"/>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车辆信息登记</w:t>
            </w:r>
          </w:p>
        </w:tc>
        <w:tc>
          <w:tcPr>
            <w:tcW w:w="737"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617"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比赛时间</w:t>
            </w:r>
          </w:p>
        </w:tc>
        <w:tc>
          <w:tcPr>
            <w:tcW w:w="111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70</w:t>
            </w:r>
            <w:r>
              <w:rPr>
                <w:rFonts w:ascii="Times New Roman" w:hAnsi="Times New Roman" w:eastAsia="仿宋_GB2312"/>
                <w:color w:val="000000" w:themeColor="text1"/>
                <w:sz w:val="18"/>
                <w:szCs w:val="18"/>
                <w:highlight w:val="none"/>
                <w14:textFill>
                  <w14:solidFill>
                    <w14:schemeClr w14:val="tx1"/>
                  </w14:solidFill>
                </w14:textFill>
              </w:rPr>
              <w:t>分钟</w:t>
            </w:r>
          </w:p>
        </w:tc>
        <w:tc>
          <w:tcPr>
            <w:tcW w:w="9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实际用时</w:t>
            </w:r>
          </w:p>
        </w:tc>
        <w:tc>
          <w:tcPr>
            <w:tcW w:w="641" w:type="pct"/>
            <w:gridSpan w:val="2"/>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46" w:type="pct"/>
            <w:shd w:val="clear" w:color="auto" w:fill="D7D7D7"/>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序号</w:t>
            </w:r>
          </w:p>
        </w:tc>
        <w:tc>
          <w:tcPr>
            <w:tcW w:w="555" w:type="pct"/>
            <w:shd w:val="clear" w:color="auto" w:fill="D7D7D7"/>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项目</w:t>
            </w:r>
          </w:p>
        </w:tc>
        <w:tc>
          <w:tcPr>
            <w:tcW w:w="1355" w:type="pct"/>
            <w:gridSpan w:val="2"/>
            <w:shd w:val="clear" w:color="auto" w:fill="D7D7D7"/>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评分点</w:t>
            </w:r>
          </w:p>
        </w:tc>
        <w:tc>
          <w:tcPr>
            <w:tcW w:w="2101" w:type="pct"/>
            <w:gridSpan w:val="2"/>
            <w:shd w:val="clear" w:color="auto" w:fill="D7D7D7"/>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说 明</w:t>
            </w:r>
          </w:p>
        </w:tc>
        <w:tc>
          <w:tcPr>
            <w:tcW w:w="352" w:type="pct"/>
            <w:shd w:val="clear" w:color="auto" w:fill="D7D7D7"/>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配分</w:t>
            </w:r>
          </w:p>
        </w:tc>
        <w:tc>
          <w:tcPr>
            <w:tcW w:w="289" w:type="pct"/>
            <w:shd w:val="clear" w:color="auto" w:fill="D7D7D7"/>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346" w:type="pct"/>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A</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0</w:t>
            </w:r>
          </w:p>
        </w:tc>
        <w:tc>
          <w:tcPr>
            <w:tcW w:w="555" w:type="pct"/>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工作组织与安全</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（20分）</w:t>
            </w: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作业准备</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□未检查设置隔离栏</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□未设置安全警示牌</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□未检查灭火器压力值（水基、干粉）</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□未安装车辆挡块</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□未安装车外三件套或安装位置不正确的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□操作中翼子板布、格栅布自行脱落的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□车内四件套（方向盘、座椅、脚垫、换挡杆）少铺或未铺或撕裂的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□未完全落下驾驶员侧车窗的</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人物安全</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□初次起动未请示裁判而直接起动发动机</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□非测试需求，每次起动发动机的时间超过10秒钟，或者连续起动发动机超过3次</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□选手佩戴尖锐饰物，未穿安全鞋</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□在检查拆装蓄电池、或运转的发动机附近操作时需佩戴护目镜</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设备使用</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□未正确进行万用表校零检查，主要包括万用表表笔的连接、档位的选择</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□未正确连接仪器、仪表和测试设备到车辆的，主要包括万用表和示波器检测探针的连接（特别是禁止黑色表笔连接到电源正极）</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□未正确操作车辆到测试条件而直接进行测试的，主要包括对车辆的操作是否能正确服务于测试目的</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操作规范</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□断开各模块插头时，未断开蓄电池连接</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□完成所有任务后，按规定力矩紧固蓄电池极桩</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□未正确进行机油和冷却液液位检查而直接起动发动机的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□测试完成后未恢复车辆的，主要包括拆卸下的部件未正确安装的、点火等其它开关未正确复位的</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安全操作</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□操作过程中，对测试设备和车辆可能构成损坏而被裁判制止的，每次扣4分，扣完为止</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□未规范操作造成车辆保险丝烧掉，每次扣4分，扣完为止</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否决项：选手损坏车辆或设备，报告裁判长，取消比赛资格</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5S规范</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□仪器、工具、零件跌落或摆放凌乱的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□每次测试完成后，测试设备未合理归位的，主要包括设备和工具随手放在车辆或地面等不合适的位置、设备使用完成后未关闭电源</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□未恢复工位到原标准工位布置状态的</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6" w:type="pct"/>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A</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1</w:t>
            </w:r>
          </w:p>
        </w:tc>
        <w:tc>
          <w:tcPr>
            <w:tcW w:w="555" w:type="pct"/>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汽车动力控制系统故障检修（48分)</w:t>
            </w: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故障现象描述</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□未在选手报告单上正确记录故障现象</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故障原因分析</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□未在选手报告单上正确分析出可能的故障范围</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故障点1测量数据记录</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□未在选手报告单上正确写出测量数据</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相关电路原理图绘制</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□未在选手报告单上正确绘出原理图</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故障点和故障机理确认</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□未在选手报告单上正确记录故障点</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□未在选手报告单上正确写出故障机理</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6" w:type="pct"/>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A</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2</w:t>
            </w:r>
          </w:p>
        </w:tc>
        <w:tc>
          <w:tcPr>
            <w:tcW w:w="555" w:type="pct"/>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底盘电控系统故障检修</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（32分)</w:t>
            </w: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故障现象描述</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□未在选手报告单上正确记录故障现象</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故障原因分析</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□未在选手报告单上正确分析出可能的故障范围</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故障点测量数据记录</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□未在选手报告单上正确写出测量数据</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相关电路原理图绘制</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□未在选手报告单上正确绘出原理图</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故障点和故障机理确认</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□未在选手报告单上正确记录故障点</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□未在选手报告单上正确写出故障机理</w:t>
            </w: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6"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555" w:type="pct"/>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355"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w:t>
            </w:r>
          </w:p>
        </w:tc>
        <w:tc>
          <w:tcPr>
            <w:tcW w:w="2101" w:type="pct"/>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352"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289" w:type="pct"/>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4358" w:type="pct"/>
            <w:gridSpan w:val="6"/>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合  计</w:t>
            </w:r>
          </w:p>
        </w:tc>
        <w:tc>
          <w:tcPr>
            <w:tcW w:w="352" w:type="pc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100</w:t>
            </w:r>
          </w:p>
        </w:tc>
        <w:tc>
          <w:tcPr>
            <w:tcW w:w="289" w:type="pc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r>
    </w:tbl>
    <w:p>
      <w:pPr>
        <w:rPr>
          <w:rFonts w:ascii="Times New Roman" w:hAnsi="Times New Roman"/>
          <w:color w:val="000000" w:themeColor="text1"/>
          <w:highlight w:val="none"/>
          <w14:textFill>
            <w14:solidFill>
              <w14:schemeClr w14:val="tx1"/>
            </w14:solidFill>
          </w14:textFill>
        </w:rPr>
      </w:pPr>
    </w:p>
    <w:p>
      <w:pPr>
        <w:keepNext w:val="0"/>
        <w:keepLines w:val="0"/>
        <w:widowControl/>
        <w:suppressLineNumbers w:val="0"/>
        <w:jc w:val="left"/>
        <w:rPr>
          <w:highlight w:val="none"/>
        </w:rPr>
      </w:pPr>
      <w:r>
        <w:rPr>
          <w:rFonts w:ascii="仿宋_GB2312" w:hAnsi="宋体" w:eastAsia="仿宋_GB2312" w:cs="仿宋_GB2312"/>
          <w:color w:val="000000"/>
          <w:kern w:val="0"/>
          <w:sz w:val="24"/>
          <w:szCs w:val="24"/>
          <w:highlight w:val="none"/>
          <w:lang w:val="en-US" w:eastAsia="zh-CN" w:bidi="ar"/>
        </w:rPr>
        <w:t>说明：评分细则根据赛题适当调整。</w:t>
      </w: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rPr>
          <w:rFonts w:ascii="Times New Roman" w:hAnsi="Times New Roman"/>
          <w:b/>
          <w:bCs/>
          <w:color w:val="000000" w:themeColor="text1"/>
          <w:sz w:val="28"/>
          <w:szCs w:val="28"/>
          <w:highlight w:val="none"/>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br w:type="page"/>
      </w: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t>附件3</w:t>
      </w:r>
    </w:p>
    <w:p>
      <w:pPr>
        <w:pStyle w:val="5"/>
        <w:rPr>
          <w:rFonts w:ascii="Times New Roman" w:hAnsi="Times New Roman"/>
          <w:color w:val="000000" w:themeColor="text1"/>
          <w:highlight w:val="none"/>
          <w14:textFill>
            <w14:solidFill>
              <w14:schemeClr w14:val="tx1"/>
            </w14:solidFill>
          </w14:textFill>
        </w:rPr>
      </w:pPr>
    </w:p>
    <w:p>
      <w:pPr>
        <w:tabs>
          <w:tab w:val="left" w:pos="9360"/>
        </w:tabs>
        <w:snapToGrid w:val="0"/>
        <w:spacing w:line="276" w:lineRule="auto"/>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drawing>
          <wp:anchor distT="0" distB="0" distL="114300" distR="114300" simplePos="0" relativeHeight="251661312" behindDoc="1" locked="0" layoutInCell="1" allowOverlap="1">
            <wp:simplePos x="0" y="0"/>
            <wp:positionH relativeFrom="page">
              <wp:posOffset>8485505</wp:posOffset>
            </wp:positionH>
            <wp:positionV relativeFrom="paragraph">
              <wp:posOffset>-490855</wp:posOffset>
            </wp:positionV>
            <wp:extent cx="1300480" cy="1300480"/>
            <wp:effectExtent l="0" t="0" r="0" b="0"/>
            <wp:wrapNone/>
            <wp:docPr id="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val="en-US"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p>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《模块A汽车动力及底盘电控系统故障检修》样题</w:t>
      </w:r>
    </w:p>
    <w:p>
      <w:pPr>
        <w:jc w:val="center"/>
        <w:rPr>
          <w:rFonts w:ascii="Times New Roman" w:hAnsi="Times New Roman" w:eastAsia="仿宋"/>
          <w:color w:val="000000" w:themeColor="text1"/>
          <w:sz w:val="24"/>
          <w:highlight w:val="none"/>
          <w14:textFill>
            <w14:solidFill>
              <w14:schemeClr w14:val="tx1"/>
            </w14:solidFill>
          </w14:textFill>
        </w:rPr>
      </w:pPr>
    </w:p>
    <w:tbl>
      <w:tblPr>
        <w:tblStyle w:val="10"/>
        <w:tblpPr w:leftFromText="180" w:rightFromText="180" w:vertAnchor="text" w:horzAnchor="page" w:tblpXSpec="center" w:tblpY="275"/>
        <w:tblOverlap w:val="never"/>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5748"/>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D7D7D7"/>
            <w:vAlign w:val="center"/>
          </w:tcPr>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序号</w:t>
            </w:r>
          </w:p>
        </w:tc>
        <w:tc>
          <w:tcPr>
            <w:tcW w:w="5748" w:type="dxa"/>
            <w:shd w:val="clear" w:color="auto" w:fill="D7D7D7"/>
            <w:vAlign w:val="center"/>
          </w:tcPr>
          <w:p>
            <w:pPr>
              <w:adjustRightInd w:val="0"/>
              <w:snapToGrid w:val="0"/>
              <w:jc w:val="center"/>
              <w:rPr>
                <w:rFonts w:hint="eastAsia" w:ascii="Times New Roman" w:hAnsi="Times New Roman" w:eastAsia="仿宋_GB2312"/>
                <w:b/>
                <w:bCs/>
                <w:color w:val="000000" w:themeColor="text1"/>
                <w:sz w:val="28"/>
                <w:szCs w:val="28"/>
                <w:highlight w:val="none"/>
                <w:lang w:eastAsia="zh-CN"/>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故障</w:t>
            </w:r>
            <w: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t>点</w:t>
            </w:r>
          </w:p>
        </w:tc>
        <w:tc>
          <w:tcPr>
            <w:tcW w:w="2682" w:type="dxa"/>
            <w:shd w:val="clear" w:color="auto" w:fill="D7D7D7"/>
            <w:vAlign w:val="center"/>
          </w:tcPr>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故障现象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1</w:t>
            </w:r>
          </w:p>
        </w:tc>
        <w:tc>
          <w:tcPr>
            <w:tcW w:w="5748"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CAN-H与CAN-L线路相互短接</w:t>
            </w:r>
          </w:p>
        </w:tc>
        <w:tc>
          <w:tcPr>
            <w:tcW w:w="2682"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低压不上电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2</w:t>
            </w:r>
          </w:p>
        </w:tc>
        <w:tc>
          <w:tcPr>
            <w:tcW w:w="5748"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制动开关信号线路对地短路</w:t>
            </w:r>
          </w:p>
        </w:tc>
        <w:tc>
          <w:tcPr>
            <w:tcW w:w="2682"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低压不上电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3</w:t>
            </w:r>
          </w:p>
        </w:tc>
        <w:tc>
          <w:tcPr>
            <w:tcW w:w="5748"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BMS的低压供电继电器线路故障</w:t>
            </w:r>
          </w:p>
        </w:tc>
        <w:tc>
          <w:tcPr>
            <w:tcW w:w="2682"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高压不上电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4</w:t>
            </w:r>
          </w:p>
        </w:tc>
        <w:tc>
          <w:tcPr>
            <w:tcW w:w="5748"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BMS接地点虚接</w:t>
            </w:r>
          </w:p>
        </w:tc>
        <w:tc>
          <w:tcPr>
            <w:tcW w:w="2682"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高压不上电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5</w:t>
            </w:r>
          </w:p>
        </w:tc>
        <w:tc>
          <w:tcPr>
            <w:tcW w:w="5748"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电机位置传感器正弦线路短路</w:t>
            </w:r>
          </w:p>
        </w:tc>
        <w:tc>
          <w:tcPr>
            <w:tcW w:w="2682"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车辆行驶异常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6</w:t>
            </w:r>
          </w:p>
        </w:tc>
        <w:tc>
          <w:tcPr>
            <w:tcW w:w="5748"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EPS控制模块电源线路断路</w:t>
            </w:r>
          </w:p>
        </w:tc>
        <w:tc>
          <w:tcPr>
            <w:tcW w:w="2682"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车辆行驶异常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7</w:t>
            </w:r>
          </w:p>
        </w:tc>
        <w:tc>
          <w:tcPr>
            <w:tcW w:w="5748"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充电枪内部的CC信号线路虚接</w:t>
            </w:r>
          </w:p>
        </w:tc>
        <w:tc>
          <w:tcPr>
            <w:tcW w:w="2682"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交流充电故障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8</w:t>
            </w:r>
          </w:p>
        </w:tc>
        <w:tc>
          <w:tcPr>
            <w:tcW w:w="5748"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车载充电机内部线路断路</w:t>
            </w:r>
          </w:p>
        </w:tc>
        <w:tc>
          <w:tcPr>
            <w:tcW w:w="2682" w:type="dxa"/>
            <w:shd w:val="clear" w:color="auto" w:fill="auto"/>
            <w:vAlign w:val="center"/>
          </w:tcPr>
          <w:p>
            <w:pPr>
              <w:adjustRightInd w:val="0"/>
              <w:snapToGrid w:val="0"/>
              <w:jc w:val="center"/>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交流充电故障</w:t>
            </w:r>
          </w:p>
        </w:tc>
      </w:tr>
    </w:tbl>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p>
    <w:p>
      <w:pPr>
        <w:keepNext w:val="0"/>
        <w:keepLines w:val="0"/>
        <w:widowControl/>
        <w:suppressLineNumbers w:val="0"/>
        <w:jc w:val="left"/>
        <w:rPr>
          <w:highlight w:val="none"/>
        </w:rPr>
      </w:pPr>
      <w:r>
        <w:rPr>
          <w:rFonts w:ascii="仿宋_GB2312" w:hAnsi="宋体" w:eastAsia="仿宋_GB2312" w:cs="仿宋_GB2312"/>
          <w:color w:val="000000"/>
          <w:kern w:val="0"/>
          <w:sz w:val="24"/>
          <w:szCs w:val="24"/>
          <w:highlight w:val="none"/>
          <w:lang w:val="en-US" w:eastAsia="zh-CN" w:bidi="ar"/>
        </w:rPr>
        <w:t xml:space="preserve">说明：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1.</w:t>
      </w:r>
      <w:r>
        <w:rPr>
          <w:rFonts w:hint="eastAsia" w:ascii="仿宋_GB2312" w:hAnsi="宋体" w:eastAsia="仿宋_GB2312" w:cs="仿宋_GB2312"/>
          <w:color w:val="000000"/>
          <w:kern w:val="0"/>
          <w:sz w:val="24"/>
          <w:szCs w:val="24"/>
          <w:highlight w:val="none"/>
          <w:lang w:val="en-US" w:eastAsia="zh-CN" w:bidi="ar"/>
        </w:rPr>
        <w:t xml:space="preserve">模块各任务故障点数量不是固定的，故障点总数不少于 </w:t>
      </w:r>
      <w:r>
        <w:rPr>
          <w:rFonts w:hint="eastAsia" w:ascii="Times New Roman" w:hAnsi="Times New Roman" w:cs="Times New Roman"/>
          <w:color w:val="000000"/>
          <w:kern w:val="0"/>
          <w:sz w:val="24"/>
          <w:szCs w:val="24"/>
          <w:highlight w:val="none"/>
          <w:lang w:val="en-US" w:eastAsia="zh-CN" w:bidi="ar"/>
        </w:rPr>
        <w:t>6</w:t>
      </w:r>
      <w:r>
        <w:rPr>
          <w:rFonts w:hint="default" w:ascii="Times New Roman" w:hAnsi="Times New Roman" w:eastAsia="宋体" w:cs="Times New Roman"/>
          <w:color w:val="000000"/>
          <w:kern w:val="0"/>
          <w:sz w:val="24"/>
          <w:szCs w:val="24"/>
          <w:highlight w:val="none"/>
          <w:lang w:val="en-US" w:eastAsia="zh-CN" w:bidi="ar"/>
        </w:rPr>
        <w:t xml:space="preserve"> </w:t>
      </w:r>
      <w:r>
        <w:rPr>
          <w:rFonts w:hint="eastAsia" w:ascii="仿宋_GB2312" w:hAnsi="宋体" w:eastAsia="仿宋_GB2312" w:cs="仿宋_GB2312"/>
          <w:color w:val="000000"/>
          <w:kern w:val="0"/>
          <w:sz w:val="24"/>
          <w:szCs w:val="24"/>
          <w:highlight w:val="none"/>
          <w:lang w:val="en-US" w:eastAsia="zh-CN" w:bidi="ar"/>
        </w:rPr>
        <w:t xml:space="preserve">个。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2.</w:t>
      </w:r>
      <w:r>
        <w:rPr>
          <w:rFonts w:hint="eastAsia" w:ascii="仿宋_GB2312" w:hAnsi="宋体" w:eastAsia="仿宋_GB2312" w:cs="仿宋_GB2312"/>
          <w:color w:val="000000"/>
          <w:kern w:val="0"/>
          <w:sz w:val="24"/>
          <w:szCs w:val="24"/>
          <w:highlight w:val="none"/>
          <w:lang w:val="en-US" w:eastAsia="zh-CN" w:bidi="ar"/>
        </w:rPr>
        <w:t xml:space="preserve">诊断低压不上电故障时，不得使用诊断仪。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3.</w:t>
      </w:r>
      <w:r>
        <w:rPr>
          <w:rFonts w:hint="eastAsia" w:ascii="仿宋_GB2312" w:hAnsi="宋体" w:eastAsia="仿宋_GB2312" w:cs="仿宋_GB2312"/>
          <w:color w:val="000000"/>
          <w:kern w:val="0"/>
          <w:sz w:val="24"/>
          <w:szCs w:val="24"/>
          <w:highlight w:val="none"/>
          <w:lang w:val="en-US" w:eastAsia="zh-CN" w:bidi="ar"/>
        </w:rPr>
        <w:t>确定故障的作业中，没有特定的顺序要求。</w:t>
      </w:r>
    </w:p>
    <w:p>
      <w:pPr>
        <w:adjustRightInd w:val="0"/>
        <w:snapToGrid w:val="0"/>
        <w:jc w:val="center"/>
        <w:rPr>
          <w:rFonts w:ascii="Times New Roman" w:hAnsi="Times New Roman"/>
          <w:b/>
          <w:bCs/>
          <w:color w:val="000000" w:themeColor="text1"/>
          <w:sz w:val="28"/>
          <w:szCs w:val="28"/>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br w:type="page"/>
      </w: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drawing>
          <wp:anchor distT="0" distB="0" distL="114300" distR="114300" simplePos="0" relativeHeight="251662336" behindDoc="1" locked="0" layoutInCell="1" allowOverlap="1">
            <wp:simplePos x="0" y="0"/>
            <wp:positionH relativeFrom="page">
              <wp:posOffset>8485505</wp:posOffset>
            </wp:positionH>
            <wp:positionV relativeFrom="paragraph">
              <wp:posOffset>-490855</wp:posOffset>
            </wp:positionV>
            <wp:extent cx="1300480" cy="1300480"/>
            <wp:effectExtent l="0" t="0" r="0" b="0"/>
            <wp:wrapNone/>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b/>
          <w:bCs/>
          <w:color w:val="000000" w:themeColor="text1"/>
          <w:sz w:val="28"/>
          <w:szCs w:val="28"/>
          <w:highlight w:val="none"/>
          <w14:textFill>
            <w14:solidFill>
              <w14:schemeClr w14:val="tx1"/>
            </w14:solidFill>
          </w14:textFill>
        </w:rPr>
        <w:t>附件4</w:t>
      </w:r>
    </w:p>
    <w:p>
      <w:pPr>
        <w:pStyle w:val="5"/>
        <w:rPr>
          <w:rFonts w:ascii="Times New Roman" w:hAnsi="Times New Roman"/>
          <w:color w:val="000000" w:themeColor="text1"/>
          <w:highlight w:val="none"/>
          <w14:textFill>
            <w14:solidFill>
              <w14:schemeClr w14:val="tx1"/>
            </w14:solidFill>
          </w14:textFill>
        </w:rPr>
      </w:pPr>
    </w:p>
    <w:p>
      <w:pPr>
        <w:tabs>
          <w:tab w:val="left" w:pos="9360"/>
        </w:tabs>
        <w:snapToGrid w:val="0"/>
        <w:spacing w:line="276" w:lineRule="auto"/>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val="en-US"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p>
    <w:p>
      <w:pPr>
        <w:adjustRightInd w:val="0"/>
        <w:snapToGrid w:val="0"/>
        <w:jc w:val="center"/>
        <w:rPr>
          <w:rFonts w:ascii="Times New Roman" w:hAnsi="Times New Roman" w:eastAsia="仿宋_GB2312"/>
          <w:b/>
          <w:bCs/>
          <w:color w:val="000000" w:themeColor="text1"/>
          <w:sz w:val="28"/>
          <w:szCs w:val="28"/>
          <w:highlight w:val="none"/>
          <w:lang w:val="fr-FR"/>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《模块B发动机及车身电控系统故障检修》</w:t>
      </w:r>
      <w:r>
        <w:rPr>
          <w:rFonts w:ascii="Times New Roman" w:hAnsi="Times New Roman" w:eastAsia="仿宋_GB2312"/>
          <w:b/>
          <w:bCs/>
          <w:color w:val="000000" w:themeColor="text1"/>
          <w:sz w:val="28"/>
          <w:szCs w:val="28"/>
          <w:highlight w:val="none"/>
          <w:lang w:val="fr-FR"/>
          <w14:textFill>
            <w14:solidFill>
              <w14:schemeClr w14:val="tx1"/>
            </w14:solidFill>
          </w14:textFill>
        </w:rPr>
        <w:t>选手报告单</w:t>
      </w:r>
    </w:p>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p>
    <w:tbl>
      <w:tblPr>
        <w:tblStyle w:val="10"/>
        <w:tblpPr w:leftFromText="180" w:rightFromText="180" w:vertAnchor="text" w:horzAnchor="page" w:tblpXSpec="center" w:tblpY="506"/>
        <w:tblOverlap w:val="never"/>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700"/>
        <w:gridCol w:w="1558"/>
        <w:gridCol w:w="1442"/>
        <w:gridCol w:w="824"/>
        <w:gridCol w:w="852"/>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选手参赛号</w:t>
            </w:r>
          </w:p>
        </w:tc>
        <w:tc>
          <w:tcPr>
            <w:tcW w:w="17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裁判长审核</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8" w:type="dxa"/>
            <w:vMerge w:val="restart"/>
            <w:tcBorders>
              <w:top w:val="single" w:color="000000" w:sz="8" w:space="0"/>
              <w:left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车辆信息登记</w:t>
            </w:r>
          </w:p>
        </w:tc>
        <w:tc>
          <w:tcPr>
            <w:tcW w:w="1700"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widowControl/>
              <w:suppressLineNumbers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00"/>
                <w:kern w:val="0"/>
                <w:sz w:val="18"/>
                <w:szCs w:val="18"/>
                <w:highlight w:val="none"/>
                <w:lang w:val="en-US" w:eastAsia="zh-CN" w:bidi="ar"/>
              </w:rPr>
              <w:t xml:space="preserve">※整车型号、 </w:t>
            </w:r>
          </w:p>
          <w:p>
            <w:pPr>
              <w:keepNext w:val="0"/>
              <w:keepLines w:val="0"/>
              <w:widowControl/>
              <w:suppressLineNumbers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00"/>
                <w:kern w:val="0"/>
                <w:sz w:val="18"/>
                <w:szCs w:val="18"/>
                <w:highlight w:val="none"/>
                <w:lang w:val="en-US" w:eastAsia="zh-CN" w:bidi="ar"/>
              </w:rPr>
              <w:t xml:space="preserve">VIN码、冷却液 </w:t>
            </w:r>
          </w:p>
          <w:p>
            <w:pPr>
              <w:keepNext w:val="0"/>
              <w:keepLines w:val="0"/>
              <w:widowControl/>
              <w:suppressLineNumbers w:val="0"/>
              <w:jc w:val="left"/>
              <w:rPr>
                <w:rFonts w:hint="eastAsia" w:ascii="仿宋_GB2312" w:hAnsi="仿宋_GB2312" w:eastAsia="仿宋_GB2312" w:cs="仿宋_GB2312"/>
                <w:sz w:val="18"/>
                <w:szCs w:val="18"/>
                <w:highlight w:val="none"/>
              </w:rPr>
            </w:pPr>
            <w:r>
              <w:rPr>
                <w:rFonts w:hint="eastAsia" w:ascii="仿宋_GB2312" w:hAnsi="仿宋_GB2312" w:eastAsia="仿宋_GB2312" w:cs="仿宋_GB2312"/>
                <w:color w:val="000000"/>
                <w:kern w:val="0"/>
                <w:sz w:val="18"/>
                <w:szCs w:val="18"/>
                <w:highlight w:val="none"/>
                <w:lang w:val="en-US" w:eastAsia="zh-CN" w:bidi="ar"/>
              </w:rPr>
              <w:t xml:space="preserve">温度表、里程表 </w:t>
            </w:r>
          </w:p>
          <w:p>
            <w:pPr>
              <w:keepNext w:val="0"/>
              <w:keepLines w:val="0"/>
              <w:widowControl/>
              <w:suppressLineNumbers w:val="0"/>
              <w:jc w:val="left"/>
              <w:rPr>
                <w:rFonts w:ascii="Times New Roman" w:hAnsi="Times New Roman" w:eastAsia="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kern w:val="0"/>
                <w:sz w:val="18"/>
                <w:szCs w:val="18"/>
                <w:highlight w:val="none"/>
                <w:lang w:val="en-US" w:eastAsia="zh-CN" w:bidi="ar"/>
              </w:rPr>
              <w:t>读数等</w:t>
            </w: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裁判签字</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统分裁判签字</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8" w:type="dxa"/>
            <w:vMerge w:val="continue"/>
            <w:tcBorders>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700" w:type="dxa"/>
            <w:vMerge w:val="continue"/>
            <w:tcBorders>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155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比赛时长</w:t>
            </w:r>
          </w:p>
        </w:tc>
        <w:tc>
          <w:tcPr>
            <w:tcW w:w="1442"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70</w:t>
            </w:r>
            <w:r>
              <w:rPr>
                <w:rFonts w:ascii="Times New Roman" w:hAnsi="Times New Roman" w:eastAsia="仿宋_GB2312"/>
                <w:color w:val="000000" w:themeColor="text1"/>
                <w:sz w:val="18"/>
                <w:szCs w:val="18"/>
                <w:highlight w:val="none"/>
                <w14:textFill>
                  <w14:solidFill>
                    <w14:schemeClr w14:val="tx1"/>
                  </w14:solidFill>
                </w14:textFill>
              </w:rPr>
              <w:t>min</w:t>
            </w:r>
          </w:p>
        </w:tc>
        <w:tc>
          <w:tcPr>
            <w:tcW w:w="1676" w:type="dxa"/>
            <w:gridSpan w:val="2"/>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实际用时</w:t>
            </w: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项目</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内     容</w:t>
            </w:r>
          </w:p>
        </w:tc>
        <w:tc>
          <w:tcPr>
            <w:tcW w:w="824" w:type="dxa"/>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 xml:space="preserve">配分 </w:t>
            </w:r>
          </w:p>
        </w:tc>
        <w:tc>
          <w:tcPr>
            <w:tcW w:w="852" w:type="dxa"/>
            <w:tcBorders>
              <w:top w:val="single" w:color="000000" w:sz="8" w:space="0"/>
              <w:left w:val="single" w:color="auto" w:sz="4" w:space="0"/>
              <w:bottom w:val="single" w:color="000000" w:sz="8" w:space="0"/>
              <w:right w:val="single" w:color="auto" w:sz="4"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得分</w:t>
            </w:r>
          </w:p>
        </w:tc>
        <w:tc>
          <w:tcPr>
            <w:tcW w:w="957" w:type="dxa"/>
            <w:tcBorders>
              <w:top w:val="single" w:color="000000" w:sz="8" w:space="0"/>
              <w:left w:val="single" w:color="auto" w:sz="4" w:space="0"/>
              <w:bottom w:val="single" w:color="000000" w:sz="8" w:space="0"/>
              <w:right w:val="single" w:color="000000" w:sz="8" w:space="0"/>
            </w:tcBorders>
            <w:shd w:val="clear" w:color="auto" w:fill="F1F1F1"/>
            <w:vAlign w:val="center"/>
          </w:tcPr>
          <w:p>
            <w:pPr>
              <w:adjustRightInd w:val="0"/>
              <w:snapToGrid w:val="0"/>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描述</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包括故障现象和故障代码</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5"/>
              <w:jc w:val="center"/>
              <w:rPr>
                <w:rFonts w:ascii="Times New Roman" w:hAnsi="Times New Roman" w:eastAsia="仿宋"/>
                <w:b/>
                <w:color w:val="000000" w:themeColor="text1"/>
                <w:sz w:val="2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5"/>
              <w:jc w:val="center"/>
              <w:rPr>
                <w:rFonts w:ascii="Times New Roman" w:hAnsi="Times New Roman" w:eastAsia="仿宋"/>
                <w:b/>
                <w:color w:val="000000" w:themeColor="text1"/>
                <w:sz w:val="2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通过分析</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得出故障</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可能原因</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结合现象及故障代码进行故障分析，并得出故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障可能原因</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维修资料</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查阅</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绘制相关电路图或原理图</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过程数据</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记录</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完成记录测试过程，直到故障排除。每一步要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求记录测试对象、测试条件、实测结果及判断。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实车测量到最小范围：元件、线路及插头、模块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按要求完成指定信号波形测试，绘制所测波形，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故障类型</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写出故障部位及故障性质后报告裁判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在电路图上指出相应电气线路（包括端子和正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确的导线）或零部件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根据裁判的指令修复故障</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1738" w:type="dxa"/>
            <w:tcBorders>
              <w:top w:val="single" w:color="000000" w:sz="8" w:space="0"/>
              <w:left w:val="single" w:color="000000" w:sz="8" w:space="0"/>
              <w:bottom w:val="single" w:color="000000" w:sz="8" w:space="0"/>
              <w:right w:val="single" w:color="auto" w:sz="4" w:space="0"/>
            </w:tcBorders>
            <w:shd w:val="clear" w:color="auto" w:fill="FFFFFF"/>
            <w:vAlign w:val="center"/>
          </w:tcPr>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故障机理</w:t>
            </w:r>
          </w:p>
          <w:p>
            <w:pPr>
              <w:adjustRightInd w:val="0"/>
              <w:snapToGrid w:val="0"/>
              <w:jc w:val="center"/>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分析</w:t>
            </w:r>
          </w:p>
        </w:tc>
        <w:tc>
          <w:tcPr>
            <w:tcW w:w="4700" w:type="dxa"/>
            <w:gridSpan w:val="3"/>
            <w:tcBorders>
              <w:top w:val="single" w:color="000000" w:sz="8" w:space="0"/>
              <w:left w:val="single" w:color="auto" w:sz="4" w:space="0"/>
              <w:bottom w:val="single" w:color="000000" w:sz="8" w:space="0"/>
              <w:right w:val="single" w:color="auto" w:sz="4" w:space="0"/>
            </w:tcBorders>
            <w:shd w:val="clear" w:color="auto" w:fill="FFFFFF"/>
            <w:vAlign w:val="center"/>
          </w:tcPr>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t>※</w:t>
            </w:r>
            <w:r>
              <w:rPr>
                <w:rFonts w:ascii="Times New Roman" w:hAnsi="Times New Roman" w:eastAsia="仿宋_GB2312"/>
                <w:color w:val="000000" w:themeColor="text1"/>
                <w:sz w:val="18"/>
                <w:szCs w:val="18"/>
                <w:highlight w:val="none"/>
                <w:lang w:val="en-US" w:eastAsia="zh-CN"/>
                <w14:textFill>
                  <w14:solidFill>
                    <w14:schemeClr w14:val="tx1"/>
                  </w14:solidFill>
                </w14:textFill>
              </w:rPr>
              <w:t xml:space="preserve">分析故障部位及故障性质为什么会导致故障现 </w:t>
            </w:r>
          </w:p>
          <w:p>
            <w:pPr>
              <w:adjustRightInd w:val="0"/>
              <w:snapToGrid w:val="0"/>
              <w:jc w:val="both"/>
              <w:rPr>
                <w:rFonts w:ascii="Times New Roman" w:hAnsi="Times New Roman" w:eastAsia="仿宋_GB2312"/>
                <w:color w:val="000000" w:themeColor="text1"/>
                <w:sz w:val="18"/>
                <w:szCs w:val="18"/>
                <w:highlight w:val="none"/>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象</w:t>
            </w:r>
          </w:p>
        </w:tc>
        <w:tc>
          <w:tcPr>
            <w:tcW w:w="824"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852" w:type="dxa"/>
            <w:tcBorders>
              <w:top w:val="single" w:color="000000" w:sz="8" w:space="0"/>
              <w:left w:val="single" w:color="auto" w:sz="4" w:space="0"/>
              <w:bottom w:val="single" w:color="000000" w:sz="8" w:space="0"/>
              <w:right w:val="single" w:color="auto" w:sz="4"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c>
          <w:tcPr>
            <w:tcW w:w="957"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p>
            <w:pPr>
              <w:spacing w:line="360" w:lineRule="auto"/>
              <w:jc w:val="center"/>
              <w:rPr>
                <w:rFonts w:ascii="Times New Roman" w:hAnsi="Times New Roman" w:eastAsia="仿宋"/>
                <w:b/>
                <w:color w:val="000000" w:themeColor="text1"/>
                <w:szCs w:val="21"/>
                <w:highlight w:val="none"/>
                <w14:textFill>
                  <w14:solidFill>
                    <w14:schemeClr w14:val="tx1"/>
                  </w14:solidFill>
                </w14:textFill>
              </w:rPr>
            </w:pPr>
          </w:p>
        </w:tc>
      </w:tr>
    </w:tbl>
    <w:p>
      <w:pPr>
        <w:rPr>
          <w:rFonts w:ascii="Times New Roman" w:hAnsi="Times New Roman"/>
          <w:vanish/>
          <w:color w:val="000000" w:themeColor="text1"/>
          <w:highlight w:val="none"/>
          <w14:textFill>
            <w14:solidFill>
              <w14:schemeClr w14:val="tx1"/>
            </w14:solidFill>
          </w14:textFill>
        </w:rPr>
      </w:pPr>
    </w:p>
    <w:tbl>
      <w:tblPr>
        <w:tblStyle w:val="10"/>
        <w:tblpPr w:leftFromText="180" w:rightFromText="180" w:vertAnchor="text" w:tblpX="10597" w:tblpY="-5300"/>
        <w:tblOverlap w:val="never"/>
        <w:tblW w:w="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adjustRightInd w:val="0"/>
              <w:snapToGrid w:val="0"/>
              <w:jc w:val="left"/>
              <w:rPr>
                <w:rFonts w:ascii="Times New Roman" w:hAnsi="Times New Roman" w:eastAsia="仿宋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adjustRightInd w:val="0"/>
              <w:snapToGrid w:val="0"/>
              <w:jc w:val="left"/>
              <w:rPr>
                <w:rFonts w:ascii="Times New Roman" w:hAnsi="Times New Roman" w:eastAsia="仿宋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66" w:type="dxa"/>
          </w:tcPr>
          <w:p>
            <w:pPr>
              <w:adjustRightInd w:val="0"/>
              <w:snapToGrid w:val="0"/>
              <w:jc w:val="left"/>
              <w:rPr>
                <w:rFonts w:ascii="Times New Roman" w:hAnsi="Times New Roman" w:eastAsia="仿宋_GB2312"/>
                <w:color w:val="000000" w:themeColor="text1"/>
                <w:sz w:val="28"/>
                <w:szCs w:val="28"/>
                <w:highlight w:val="none"/>
                <w14:textFill>
                  <w14:solidFill>
                    <w14:schemeClr w14:val="tx1"/>
                  </w14:solidFill>
                </w14:textFill>
              </w:rPr>
            </w:pPr>
          </w:p>
          <w:p>
            <w:pPr>
              <w:adjustRightInd w:val="0"/>
              <w:snapToGrid w:val="0"/>
              <w:jc w:val="left"/>
              <w:rPr>
                <w:rFonts w:ascii="Times New Roman" w:hAnsi="Times New Roman" w:eastAsia="仿宋_GB2312"/>
                <w:color w:val="000000" w:themeColor="text1"/>
                <w:sz w:val="28"/>
                <w:szCs w:val="28"/>
                <w:highlight w:val="none"/>
                <w14:textFill>
                  <w14:solidFill>
                    <w14:schemeClr w14:val="tx1"/>
                  </w14:solidFill>
                </w14:textFill>
              </w:rPr>
            </w:pPr>
          </w:p>
        </w:tc>
      </w:tr>
    </w:tbl>
    <w:p>
      <w:pPr>
        <w:pStyle w:val="3"/>
        <w:numPr>
          <w:ilvl w:val="0"/>
          <w:numId w:val="0"/>
        </w:numPr>
        <w:rPr>
          <w:rFonts w:ascii="Times New Roman" w:hAnsi="Times New Roman" w:eastAsia="微软雅黑"/>
          <w:color w:val="000000" w:themeColor="text1"/>
          <w:sz w:val="36"/>
          <w:szCs w:val="36"/>
          <w:highlight w:val="none"/>
          <w:lang w:val="fr-FR"/>
          <w14:textFill>
            <w14:solidFill>
              <w14:schemeClr w14:val="tx1"/>
            </w14:solidFill>
          </w14:textFill>
        </w:rPr>
        <w:sectPr>
          <w:headerReference r:id="rId4" w:type="first"/>
          <w:footerReference r:id="rId6" w:type="first"/>
          <w:headerReference r:id="rId3" w:type="default"/>
          <w:footerReference r:id="rId5" w:type="default"/>
          <w:pgSz w:w="11906" w:h="16838"/>
          <w:pgMar w:top="2041" w:right="1417" w:bottom="1984" w:left="1417" w:header="567" w:footer="850" w:gutter="0"/>
          <w:pgNumType w:start="1"/>
          <w:cols w:space="0" w:num="1"/>
          <w:titlePg/>
          <w:rtlGutter w:val="0"/>
          <w:docGrid w:linePitch="360" w:charSpace="0"/>
        </w:sectPr>
      </w:pPr>
    </w:p>
    <w:p>
      <w:pPr>
        <w:tabs>
          <w:tab w:val="left" w:pos="9360"/>
        </w:tabs>
        <w:adjustRightInd w:val="0"/>
        <w:snapToGrid w:val="0"/>
        <w:spacing w:line="240" w:lineRule="atLeast"/>
        <w:rPr>
          <w:rFonts w:hint="default" w:ascii="Times New Roman" w:hAnsi="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b/>
          <w:bCs/>
          <w:color w:val="000000" w:themeColor="text1"/>
          <w:sz w:val="28"/>
          <w:szCs w:val="28"/>
          <w:highlight w:val="none"/>
          <w:lang w:val="en-US" w:eastAsia="zh-CN"/>
          <w14:textFill>
            <w14:solidFill>
              <w14:schemeClr w14:val="tx1"/>
            </w14:solidFill>
          </w14:textFill>
        </w:rPr>
        <w:t>附件5</w:t>
      </w:r>
    </w:p>
    <w:p>
      <w:pPr>
        <w:pStyle w:val="5"/>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drawing>
          <wp:anchor distT="0" distB="0" distL="114300" distR="114300" simplePos="0" relativeHeight="251660288" behindDoc="1" locked="0" layoutInCell="1" allowOverlap="1">
            <wp:simplePos x="0" y="0"/>
            <wp:positionH relativeFrom="page">
              <wp:posOffset>8485505</wp:posOffset>
            </wp:positionH>
            <wp:positionV relativeFrom="paragraph">
              <wp:posOffset>-490855</wp:posOffset>
            </wp:positionV>
            <wp:extent cx="1300480" cy="1300480"/>
            <wp:effectExtent l="0" t="0" r="0" b="0"/>
            <wp:wrapNone/>
            <wp:docPr id="1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00480" cy="1300480"/>
                    </a:xfrm>
                    <a:prstGeom prst="rect">
                      <a:avLst/>
                    </a:prstGeom>
                    <a:noFill/>
                    <a:ln>
                      <a:noFill/>
                    </a:ln>
                  </pic:spPr>
                </pic:pic>
              </a:graphicData>
            </a:graphic>
          </wp:anchor>
        </w:drawing>
      </w: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val="en-US"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adjustRightInd w:val="0"/>
        <w:snapToGrid w:val="0"/>
        <w:jc w:val="center"/>
        <w:rPr>
          <w:rFonts w:ascii="Times New Roman" w:hAnsi="Times New Roman" w:eastAsia="仿宋_GB2312"/>
          <w:b/>
          <w:bCs/>
          <w:color w:val="000000" w:themeColor="text1"/>
          <w:sz w:val="32"/>
          <w:szCs w:val="32"/>
          <w:highlight w:val="none"/>
          <w14:textFill>
            <w14:solidFill>
              <w14:schemeClr w14:val="tx1"/>
            </w14:solidFill>
          </w14:textFill>
        </w:rPr>
      </w:pPr>
    </w:p>
    <w:p>
      <w:pPr>
        <w:adjustRightInd w:val="0"/>
        <w:snapToGrid w:val="0"/>
        <w:jc w:val="center"/>
        <w:rPr>
          <w:rFonts w:ascii="Times New Roman" w:hAnsi="Times New Roman" w:eastAsia="仿宋_GB2312"/>
          <w:b/>
          <w:bCs/>
          <w:color w:val="000000" w:themeColor="text1"/>
          <w:sz w:val="32"/>
          <w:szCs w:val="32"/>
          <w:highlight w:val="none"/>
          <w14:textFill>
            <w14:solidFill>
              <w14:schemeClr w14:val="tx1"/>
            </w14:solidFill>
          </w14:textFill>
        </w:rPr>
      </w:pPr>
      <w:r>
        <w:rPr>
          <w:rFonts w:ascii="Times New Roman" w:hAnsi="Times New Roman" w:eastAsia="仿宋_GB2312"/>
          <w:b/>
          <w:bCs/>
          <w:color w:val="000000" w:themeColor="text1"/>
          <w:sz w:val="32"/>
          <w:szCs w:val="32"/>
          <w:highlight w:val="none"/>
          <w14:textFill>
            <w14:solidFill>
              <w14:schemeClr w14:val="tx1"/>
            </w14:solidFill>
          </w14:textFill>
        </w:rPr>
        <w:t>《模块B–发动机及车身电控系统故障检修》现场评分表</w:t>
      </w:r>
    </w:p>
    <w:p>
      <w:pPr>
        <w:rPr>
          <w:rFonts w:ascii="Times New Roman" w:hAnsi="Times New Roman"/>
          <w:color w:val="000000" w:themeColor="text1"/>
          <w:highlight w:val="none"/>
          <w14:textFill>
            <w14:solidFill>
              <w14:schemeClr w14:val="tx1"/>
            </w14:solidFill>
          </w14:textFill>
        </w:rPr>
      </w:pPr>
    </w:p>
    <w:tbl>
      <w:tblPr>
        <w:tblStyle w:val="10"/>
        <w:tblW w:w="10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1513"/>
        <w:gridCol w:w="1358"/>
        <w:gridCol w:w="2186"/>
        <w:gridCol w:w="2022"/>
        <w:gridCol w:w="717"/>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844"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选手参赛号</w:t>
            </w:r>
          </w:p>
        </w:tc>
        <w:tc>
          <w:tcPr>
            <w:tcW w:w="1513" w:type="dxa"/>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c>
          <w:tcPr>
            <w:tcW w:w="3544"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裁判签字：</w:t>
            </w:r>
          </w:p>
        </w:tc>
        <w:tc>
          <w:tcPr>
            <w:tcW w:w="2022" w:type="dxa"/>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裁判长抽审</w:t>
            </w:r>
          </w:p>
        </w:tc>
        <w:tc>
          <w:tcPr>
            <w:tcW w:w="1432"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844" w:type="dxa"/>
            <w:gridSpan w:val="2"/>
            <w:vMerge w:val="restart"/>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统分裁判签字</w:t>
            </w:r>
          </w:p>
        </w:tc>
        <w:tc>
          <w:tcPr>
            <w:tcW w:w="1513" w:type="dxa"/>
            <w:vMerge w:val="restart"/>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c>
          <w:tcPr>
            <w:tcW w:w="3544"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裁判签字：</w:t>
            </w:r>
          </w:p>
        </w:tc>
        <w:tc>
          <w:tcPr>
            <w:tcW w:w="2022" w:type="dxa"/>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监督仲裁签字</w:t>
            </w:r>
          </w:p>
        </w:tc>
        <w:tc>
          <w:tcPr>
            <w:tcW w:w="1432"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844" w:type="dxa"/>
            <w:gridSpan w:val="2"/>
            <w:vMerge w:val="continue"/>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c>
          <w:tcPr>
            <w:tcW w:w="1513" w:type="dxa"/>
            <w:vMerge w:val="continue"/>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c>
          <w:tcPr>
            <w:tcW w:w="1358" w:type="dxa"/>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比赛时间</w:t>
            </w:r>
          </w:p>
        </w:tc>
        <w:tc>
          <w:tcPr>
            <w:tcW w:w="2186" w:type="dxa"/>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lang w:val="en-US" w:eastAsia="zh-CN"/>
                <w14:textFill>
                  <w14:solidFill>
                    <w14:schemeClr w14:val="tx1"/>
                  </w14:solidFill>
                </w14:textFill>
              </w:rPr>
              <w:t>70</w:t>
            </w:r>
            <w:r>
              <w:rPr>
                <w:rFonts w:ascii="Times New Roman" w:hAnsi="Times New Roman" w:eastAsia="仿宋_GB2312"/>
                <w:color w:val="000000" w:themeColor="text1"/>
                <w:sz w:val="24"/>
                <w:szCs w:val="24"/>
                <w:highlight w:val="none"/>
                <w14:textFill>
                  <w14:solidFill>
                    <w14:schemeClr w14:val="tx1"/>
                  </w14:solidFill>
                </w14:textFill>
              </w:rPr>
              <w:t>分钟</w:t>
            </w:r>
          </w:p>
        </w:tc>
        <w:tc>
          <w:tcPr>
            <w:tcW w:w="2022" w:type="dxa"/>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r>
              <w:rPr>
                <w:rFonts w:ascii="Times New Roman" w:hAnsi="Times New Roman" w:eastAsia="仿宋_GB2312"/>
                <w:color w:val="000000" w:themeColor="text1"/>
                <w:sz w:val="24"/>
                <w:szCs w:val="24"/>
                <w:highlight w:val="none"/>
                <w14:textFill>
                  <w14:solidFill>
                    <w14:schemeClr w14:val="tx1"/>
                  </w14:solidFill>
                </w14:textFill>
              </w:rPr>
              <w:t>实际用时</w:t>
            </w:r>
          </w:p>
        </w:tc>
        <w:tc>
          <w:tcPr>
            <w:tcW w:w="1432" w:type="dxa"/>
            <w:gridSpan w:val="2"/>
            <w:vAlign w:val="center"/>
          </w:tcPr>
          <w:p>
            <w:pPr>
              <w:adjustRightInd w:val="0"/>
              <w:snapToGrid w:val="0"/>
              <w:jc w:val="left"/>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10" w:type="dxa"/>
            <w:shd w:val="clear" w:color="auto" w:fill="F1F1F1"/>
            <w:vAlign w:val="center"/>
          </w:tcPr>
          <w:p>
            <w:pPr>
              <w:adjustRightInd w:val="0"/>
              <w:snapToGrid w:val="0"/>
              <w:jc w:val="center"/>
              <w:rPr>
                <w:rFonts w:ascii="Times New Roman" w:hAnsi="Times New Roman" w:eastAsia="仿宋_GB2312"/>
                <w:b/>
                <w:bCs/>
                <w:color w:val="000000" w:themeColor="text1"/>
                <w:sz w:val="24"/>
                <w:szCs w:val="24"/>
                <w:highlight w:val="none"/>
                <w14:textFill>
                  <w14:solidFill>
                    <w14:schemeClr w14:val="tx1"/>
                  </w14:solidFill>
                </w14:textFill>
              </w:rPr>
            </w:pPr>
            <w:r>
              <w:rPr>
                <w:rFonts w:ascii="Times New Roman" w:hAnsi="Times New Roman" w:eastAsia="仿宋_GB2312"/>
                <w:b/>
                <w:bCs/>
                <w:color w:val="000000" w:themeColor="text1"/>
                <w:sz w:val="24"/>
                <w:szCs w:val="24"/>
                <w:highlight w:val="none"/>
                <w14:textFill>
                  <w14:solidFill>
                    <w14:schemeClr w14:val="tx1"/>
                  </w14:solidFill>
                </w14:textFill>
              </w:rPr>
              <w:t>序号</w:t>
            </w:r>
          </w:p>
        </w:tc>
        <w:tc>
          <w:tcPr>
            <w:tcW w:w="1134" w:type="dxa"/>
            <w:shd w:val="clear" w:color="auto" w:fill="F1F1F1"/>
            <w:vAlign w:val="center"/>
          </w:tcPr>
          <w:p>
            <w:pPr>
              <w:adjustRightInd w:val="0"/>
              <w:snapToGrid w:val="0"/>
              <w:jc w:val="center"/>
              <w:rPr>
                <w:rFonts w:ascii="Times New Roman" w:hAnsi="Times New Roman" w:eastAsia="仿宋_GB2312"/>
                <w:b/>
                <w:bCs/>
                <w:color w:val="000000" w:themeColor="text1"/>
                <w:sz w:val="24"/>
                <w:szCs w:val="24"/>
                <w:highlight w:val="none"/>
                <w14:textFill>
                  <w14:solidFill>
                    <w14:schemeClr w14:val="tx1"/>
                  </w14:solidFill>
                </w14:textFill>
              </w:rPr>
            </w:pPr>
            <w:r>
              <w:rPr>
                <w:rFonts w:ascii="Times New Roman" w:hAnsi="Times New Roman" w:eastAsia="仿宋_GB2312"/>
                <w:b/>
                <w:bCs/>
                <w:color w:val="000000" w:themeColor="text1"/>
                <w:sz w:val="24"/>
                <w:szCs w:val="24"/>
                <w:highlight w:val="none"/>
                <w14:textFill>
                  <w14:solidFill>
                    <w14:schemeClr w14:val="tx1"/>
                  </w14:solidFill>
                </w14:textFill>
              </w:rPr>
              <w:t>项目</w:t>
            </w:r>
          </w:p>
        </w:tc>
        <w:tc>
          <w:tcPr>
            <w:tcW w:w="2871" w:type="dxa"/>
            <w:gridSpan w:val="2"/>
            <w:shd w:val="clear" w:color="auto" w:fill="F1F1F1"/>
            <w:vAlign w:val="center"/>
          </w:tcPr>
          <w:p>
            <w:pPr>
              <w:adjustRightInd w:val="0"/>
              <w:snapToGrid w:val="0"/>
              <w:jc w:val="center"/>
              <w:rPr>
                <w:rFonts w:ascii="Times New Roman" w:hAnsi="Times New Roman" w:eastAsia="仿宋_GB2312"/>
                <w:b/>
                <w:bCs/>
                <w:color w:val="000000" w:themeColor="text1"/>
                <w:sz w:val="24"/>
                <w:szCs w:val="24"/>
                <w:highlight w:val="none"/>
                <w14:textFill>
                  <w14:solidFill>
                    <w14:schemeClr w14:val="tx1"/>
                  </w14:solidFill>
                </w14:textFill>
              </w:rPr>
            </w:pPr>
            <w:r>
              <w:rPr>
                <w:rFonts w:ascii="Times New Roman" w:hAnsi="Times New Roman" w:eastAsia="仿宋_GB2312"/>
                <w:b/>
                <w:bCs/>
                <w:color w:val="000000" w:themeColor="text1"/>
                <w:sz w:val="24"/>
                <w:szCs w:val="24"/>
                <w:highlight w:val="none"/>
                <w14:textFill>
                  <w14:solidFill>
                    <w14:schemeClr w14:val="tx1"/>
                  </w14:solidFill>
                </w14:textFill>
              </w:rPr>
              <w:t>评分点</w:t>
            </w:r>
          </w:p>
        </w:tc>
        <w:tc>
          <w:tcPr>
            <w:tcW w:w="4208" w:type="dxa"/>
            <w:gridSpan w:val="2"/>
            <w:shd w:val="clear" w:color="auto" w:fill="F1F1F1"/>
            <w:vAlign w:val="center"/>
          </w:tcPr>
          <w:p>
            <w:pPr>
              <w:adjustRightInd w:val="0"/>
              <w:snapToGrid w:val="0"/>
              <w:jc w:val="center"/>
              <w:rPr>
                <w:rFonts w:ascii="Times New Roman" w:hAnsi="Times New Roman" w:eastAsia="仿宋_GB2312"/>
                <w:b/>
                <w:bCs/>
                <w:color w:val="000000" w:themeColor="text1"/>
                <w:sz w:val="24"/>
                <w:szCs w:val="24"/>
                <w:highlight w:val="none"/>
                <w14:textFill>
                  <w14:solidFill>
                    <w14:schemeClr w14:val="tx1"/>
                  </w14:solidFill>
                </w14:textFill>
              </w:rPr>
            </w:pPr>
            <w:r>
              <w:rPr>
                <w:rFonts w:ascii="Times New Roman" w:hAnsi="Times New Roman" w:eastAsia="仿宋_GB2312"/>
                <w:b/>
                <w:bCs/>
                <w:color w:val="000000" w:themeColor="text1"/>
                <w:sz w:val="24"/>
                <w:szCs w:val="24"/>
                <w:highlight w:val="none"/>
                <w14:textFill>
                  <w14:solidFill>
                    <w14:schemeClr w14:val="tx1"/>
                  </w14:solidFill>
                </w14:textFill>
              </w:rPr>
              <w:t>说 明</w:t>
            </w:r>
          </w:p>
        </w:tc>
        <w:tc>
          <w:tcPr>
            <w:tcW w:w="717" w:type="dxa"/>
            <w:shd w:val="clear" w:color="auto" w:fill="F1F1F1"/>
            <w:vAlign w:val="center"/>
          </w:tcPr>
          <w:p>
            <w:pPr>
              <w:adjustRightInd w:val="0"/>
              <w:snapToGrid w:val="0"/>
              <w:jc w:val="center"/>
              <w:rPr>
                <w:rFonts w:ascii="Times New Roman" w:hAnsi="Times New Roman" w:eastAsia="仿宋_GB2312"/>
                <w:b/>
                <w:bCs/>
                <w:color w:val="000000" w:themeColor="text1"/>
                <w:sz w:val="24"/>
                <w:szCs w:val="24"/>
                <w:highlight w:val="none"/>
                <w14:textFill>
                  <w14:solidFill>
                    <w14:schemeClr w14:val="tx1"/>
                  </w14:solidFill>
                </w14:textFill>
              </w:rPr>
            </w:pPr>
            <w:r>
              <w:rPr>
                <w:rFonts w:ascii="Times New Roman" w:hAnsi="Times New Roman" w:eastAsia="仿宋_GB2312"/>
                <w:b/>
                <w:bCs/>
                <w:color w:val="000000" w:themeColor="text1"/>
                <w:sz w:val="24"/>
                <w:szCs w:val="24"/>
                <w:highlight w:val="none"/>
                <w14:textFill>
                  <w14:solidFill>
                    <w14:schemeClr w14:val="tx1"/>
                  </w14:solidFill>
                </w14:textFill>
              </w:rPr>
              <w:t>配分</w:t>
            </w:r>
          </w:p>
        </w:tc>
        <w:tc>
          <w:tcPr>
            <w:tcW w:w="715" w:type="dxa"/>
            <w:shd w:val="clear" w:color="auto" w:fill="F1F1F1"/>
            <w:vAlign w:val="center"/>
          </w:tcPr>
          <w:p>
            <w:pPr>
              <w:widowControl/>
              <w:jc w:val="center"/>
              <w:rPr>
                <w:rFonts w:ascii="Times New Roman" w:hAnsi="Times New Roman" w:eastAsia="仿宋"/>
                <w:b/>
                <w:bCs/>
                <w:color w:val="000000" w:themeColor="text1"/>
                <w:kern w:val="0"/>
                <w:sz w:val="24"/>
                <w:szCs w:val="24"/>
                <w:highlight w:val="none"/>
                <w14:textFill>
                  <w14:solidFill>
                    <w14:schemeClr w14:val="tx1"/>
                  </w14:solidFill>
                </w14:textFill>
              </w:rPr>
            </w:pPr>
            <w:r>
              <w:rPr>
                <w:rFonts w:ascii="Times New Roman" w:hAnsi="Times New Roman" w:eastAsia="仿宋"/>
                <w:b/>
                <w:bCs/>
                <w:color w:val="000000" w:themeColor="text1"/>
                <w:kern w:val="0"/>
                <w:sz w:val="24"/>
                <w:szCs w:val="24"/>
                <w:highlight w:val="none"/>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10" w:type="dxa"/>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B</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0</w:t>
            </w:r>
          </w:p>
        </w:tc>
        <w:tc>
          <w:tcPr>
            <w:tcW w:w="1134" w:type="dxa"/>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健康与</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安全</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（20分）</w:t>
            </w: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作业准备</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□未检查设置隔离栏</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□未设置安全警示牌</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□未检查灭火器压力值（水基、干粉）</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□未安装车辆挡块</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□未安装车外三件套或安装位置不正确的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□操作中翼子板布、格栅布自行脱落的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□车内四件套（方向盘、座椅、脚垫、换挡杆）少铺或未铺或撕裂的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□未完全落下驾驶员侧车窗的</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人物安全</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□未检查绝缘手套，测量高压部分线路未佩戴绝缘手套，裁判制止并重新佩戴</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□未检查防电池电解液酸碱性手套外观损伤，触碰电池包部分未佩戴防电池电解液酸碱性手套</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□未检查护目镜外观损伤，测量高压部分线路未佩戴护目镜</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□未检查安全帽外观损伤，车辆底部作业未佩戴安全帽</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□未检查确认电子手刹和档位的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□上高压电时向裁判报告</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设备使用</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□未选择正确的绝缘测试仪（本项如果错误，绝缘测试均不得分）</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□初次使用未正确进行万用表检查（本项如果错误，高压端测试均不得分）</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□未正确连接仪器、仪表和测试设备到车辆的，主要包括万用表和示波器检测探针的连接（特别是禁止黑色表笔连接到电源正极）</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□未正确操作车辆到测试条件而直接进行测试的，主要包括对车辆的操作是否能正确服务于测试目的</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操作规范</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□断开各模块插头时，未先关闭点火开关，再断开蓄电池负极，并对蓄电池负极进行防护；断开高压插头没有验电。</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□完成所有任务后，按规定力矩紧固蓄电池极桩</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□测试完成后未恢复车辆的，主要包括拆卸下的部件未正确安装的、点火等其它开关未正确复位的</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安全操作</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□操作过程中，对测试设备和车辆可能构成损坏而被裁判制止的，每次扣4分，扣完为止</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□未规范操作造成车辆保险丝烧掉，每次扣4分，扣完为止</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否决项：选手损坏车辆或设备，报告裁判长，取消比赛资格</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5S规范</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□仪器、工具、零件跌落或摆放凌乱的</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□每次测试完成后，测试设备未合理归位的，主要包括设备和工具随手放在车辆或地面等不合适的位置、设备使用完成后未关闭电源</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□未恢复工位到原标准工位布置状态的</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B</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1</w:t>
            </w:r>
          </w:p>
        </w:tc>
        <w:tc>
          <w:tcPr>
            <w:tcW w:w="1134" w:type="dxa"/>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发动机控制系统故障检修（4</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8</w:t>
            </w:r>
            <w:r>
              <w:rPr>
                <w:rFonts w:ascii="Times New Roman" w:hAnsi="Times New Roman" w:eastAsia="仿宋_GB2312"/>
                <w:color w:val="000000" w:themeColor="text1"/>
                <w:sz w:val="18"/>
                <w:szCs w:val="18"/>
                <w:highlight w:val="none"/>
                <w14:textFill>
                  <w14:solidFill>
                    <w14:schemeClr w14:val="tx1"/>
                  </w14:solidFill>
                </w14:textFill>
              </w:rPr>
              <w:t>分)</w:t>
            </w: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故障现象描述</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□未在选手报告单上正确记录故障现象</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故障原因分析</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□未在选手报告单上正确分析出可能的故障范围</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故障点1测量数据记录</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□未在选手报告单上正确写出测量数据</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相关电路原理图绘制</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□未在选手报告单上正确绘出原理图</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故障点和故障机理确认</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□未在选手报告单上正确记录故障点</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□未在选手报告单上正确写出故障机理</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restart"/>
            <w:vAlign w:val="center"/>
          </w:tcPr>
          <w:p>
            <w:pPr>
              <w:adjustRightInd w:val="0"/>
              <w:snapToGrid w:val="0"/>
              <w:jc w:val="left"/>
              <w:rPr>
                <w:rFonts w:hint="eastAsia" w:ascii="Times New Roman" w:hAnsi="Times New Roman" w:eastAsia="仿宋_GB2312"/>
                <w:color w:val="000000" w:themeColor="text1"/>
                <w:sz w:val="18"/>
                <w:szCs w:val="18"/>
                <w:highlight w:val="none"/>
                <w:lang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B</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2</w:t>
            </w:r>
          </w:p>
        </w:tc>
        <w:tc>
          <w:tcPr>
            <w:tcW w:w="1134" w:type="dxa"/>
            <w:vMerge w:val="restart"/>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车身电控系统故障检修（</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32</w:t>
            </w:r>
            <w:r>
              <w:rPr>
                <w:rFonts w:ascii="Times New Roman" w:hAnsi="Times New Roman" w:eastAsia="仿宋_GB2312"/>
                <w:color w:val="000000" w:themeColor="text1"/>
                <w:sz w:val="18"/>
                <w:szCs w:val="18"/>
                <w:highlight w:val="none"/>
                <w14:textFill>
                  <w14:solidFill>
                    <w14:schemeClr w14:val="tx1"/>
                  </w14:solidFill>
                </w14:textFill>
              </w:rPr>
              <w:t>分)</w:t>
            </w: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故障现象描述</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□未在选手报告单上正确记录故障现象</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故障原因分析</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□未在选手报告单上正确分析出可能的故障范围</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故障点测量数据记录</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□未在选手报告单上正确写出测量数据</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相关电路原理图绘制</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□未在选手报告单上正确绘出原理图</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故障点和故障机理确认</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□未在选手报告单上正确记录故障点</w:t>
            </w:r>
          </w:p>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□未在选手报告单上正确写出故障机理</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10"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1134" w:type="dxa"/>
            <w:vMerge w:val="continue"/>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2871"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w:t>
            </w:r>
          </w:p>
        </w:tc>
        <w:tc>
          <w:tcPr>
            <w:tcW w:w="4208" w:type="dxa"/>
            <w:gridSpan w:val="2"/>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15" w:type="dxa"/>
            <w:vAlign w:val="center"/>
          </w:tcPr>
          <w:p>
            <w:pPr>
              <w:jc w:val="center"/>
              <w:rPr>
                <w:rFonts w:ascii="Times New Roman" w:hAnsi="Times New Roman" w:eastAsia="仿宋"/>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8923" w:type="dxa"/>
            <w:gridSpan w:val="6"/>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合  计</w:t>
            </w:r>
          </w:p>
        </w:tc>
        <w:tc>
          <w:tcPr>
            <w:tcW w:w="717" w:type="dxa"/>
            <w:vAlign w:val="center"/>
          </w:tcPr>
          <w:p>
            <w:pPr>
              <w:adjustRightInd w:val="0"/>
              <w:snapToGrid w:val="0"/>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100</w:t>
            </w:r>
          </w:p>
        </w:tc>
        <w:tc>
          <w:tcPr>
            <w:tcW w:w="715" w:type="dxa"/>
            <w:vAlign w:val="center"/>
          </w:tcPr>
          <w:p>
            <w:pPr>
              <w:jc w:val="center"/>
              <w:rPr>
                <w:rFonts w:ascii="Times New Roman" w:hAnsi="Times New Roman" w:eastAsia="仿宋"/>
                <w:b/>
                <w:color w:val="000000" w:themeColor="text1"/>
                <w:szCs w:val="21"/>
                <w:highlight w:val="none"/>
                <w14:textFill>
                  <w14:solidFill>
                    <w14:schemeClr w14:val="tx1"/>
                  </w14:solidFill>
                </w14:textFill>
              </w:rPr>
            </w:pPr>
          </w:p>
        </w:tc>
      </w:tr>
    </w:tbl>
    <w:p>
      <w:pPr>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keepNext w:val="0"/>
        <w:keepLines w:val="0"/>
        <w:widowControl/>
        <w:suppressLineNumbers w:val="0"/>
        <w:jc w:val="left"/>
        <w:rPr>
          <w:highlight w:val="none"/>
        </w:rPr>
      </w:pPr>
      <w:r>
        <w:rPr>
          <w:rFonts w:ascii="仿宋_GB2312" w:hAnsi="宋体" w:eastAsia="仿宋_GB2312" w:cs="仿宋_GB2312"/>
          <w:color w:val="000000"/>
          <w:kern w:val="0"/>
          <w:sz w:val="24"/>
          <w:szCs w:val="24"/>
          <w:highlight w:val="none"/>
          <w:lang w:val="en-US" w:eastAsia="zh-CN" w:bidi="ar"/>
        </w:rPr>
        <w:t>说明：评分细则根据赛题适当调整</w:t>
      </w:r>
    </w:p>
    <w:p>
      <w:pPr>
        <w:pStyle w:val="5"/>
        <w:rPr>
          <w:rFonts w:ascii="Times New Roman" w:hAnsi="Times New Roman"/>
          <w:b/>
          <w:bCs/>
          <w:color w:val="000000" w:themeColor="text1"/>
          <w:highlight w:val="none"/>
          <w14:textFill>
            <w14:solidFill>
              <w14:schemeClr w14:val="tx1"/>
            </w14:solidFill>
          </w14:textFill>
        </w:rPr>
      </w:pPr>
    </w:p>
    <w:p>
      <w:pPr>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b/>
          <w:bCs/>
          <w:color w:val="000000" w:themeColor="text1"/>
          <w:highlight w:val="none"/>
          <w14:textFill>
            <w14:solidFill>
              <w14:schemeClr w14:val="tx1"/>
            </w14:solidFill>
          </w14:textFill>
        </w:rPr>
      </w:pPr>
    </w:p>
    <w:p>
      <w:pPr>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b/>
          <w:bCs/>
          <w:color w:val="000000" w:themeColor="text1"/>
          <w:highlight w:val="none"/>
          <w14:textFill>
            <w14:solidFill>
              <w14:schemeClr w14:val="tx1"/>
            </w14:solidFill>
          </w14:textFill>
        </w:rPr>
      </w:pPr>
    </w:p>
    <w:p>
      <w:pPr>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b/>
          <w:bCs/>
          <w:color w:val="000000" w:themeColor="text1"/>
          <w:highlight w:val="none"/>
          <w14:textFill>
            <w14:solidFill>
              <w14:schemeClr w14:val="tx1"/>
            </w14:solidFill>
          </w14:textFill>
        </w:rPr>
      </w:pPr>
    </w:p>
    <w:p>
      <w:pPr>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b/>
          <w:bCs/>
          <w:color w:val="000000" w:themeColor="text1"/>
          <w:highlight w:val="none"/>
          <w14:textFill>
            <w14:solidFill>
              <w14:schemeClr w14:val="tx1"/>
            </w14:solidFill>
          </w14:textFill>
        </w:rPr>
      </w:pPr>
    </w:p>
    <w:p>
      <w:pPr>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t>附件6</w:t>
      </w: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pStyle w:val="5"/>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《模块B发动机及车身电控系统故障检修》样题举例</w:t>
      </w:r>
    </w:p>
    <w:tbl>
      <w:tblPr>
        <w:tblStyle w:val="10"/>
        <w:tblpPr w:leftFromText="180" w:rightFromText="180" w:vertAnchor="text" w:horzAnchor="page" w:tblpXSpec="center" w:tblpY="275"/>
        <w:tblOverlap w:val="never"/>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5209"/>
        <w:gridCol w:w="3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D7D7D7"/>
            <w:vAlign w:val="center"/>
          </w:tcPr>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序号</w:t>
            </w:r>
          </w:p>
        </w:tc>
        <w:tc>
          <w:tcPr>
            <w:tcW w:w="5209" w:type="dxa"/>
            <w:shd w:val="clear" w:color="auto" w:fill="D7D7D7"/>
            <w:vAlign w:val="center"/>
          </w:tcPr>
          <w:p>
            <w:pPr>
              <w:adjustRightInd w:val="0"/>
              <w:snapToGrid w:val="0"/>
              <w:jc w:val="center"/>
              <w:rPr>
                <w:rFonts w:hint="eastAsia" w:ascii="Times New Roman" w:hAnsi="Times New Roman" w:eastAsia="仿宋_GB2312"/>
                <w:b/>
                <w:bCs/>
                <w:color w:val="000000" w:themeColor="text1"/>
                <w:sz w:val="28"/>
                <w:szCs w:val="28"/>
                <w:highlight w:val="none"/>
                <w:lang w:eastAsia="zh-CN"/>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故障</w:t>
            </w:r>
            <w:r>
              <w:rPr>
                <w:rFonts w:hint="eastAsia" w:ascii="Times New Roman" w:hAnsi="Times New Roman" w:eastAsia="仿宋_GB2312"/>
                <w:b/>
                <w:bCs/>
                <w:color w:val="000000" w:themeColor="text1"/>
                <w:sz w:val="28"/>
                <w:szCs w:val="28"/>
                <w:highlight w:val="none"/>
                <w:lang w:val="en-US" w:eastAsia="zh-CN"/>
                <w14:textFill>
                  <w14:solidFill>
                    <w14:schemeClr w14:val="tx1"/>
                  </w14:solidFill>
                </w14:textFill>
              </w:rPr>
              <w:t>点</w:t>
            </w:r>
          </w:p>
        </w:tc>
        <w:tc>
          <w:tcPr>
            <w:tcW w:w="3221" w:type="dxa"/>
            <w:shd w:val="clear" w:color="auto" w:fill="D7D7D7"/>
            <w:vAlign w:val="center"/>
          </w:tcPr>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故障现象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1</w:t>
            </w:r>
          </w:p>
        </w:tc>
        <w:tc>
          <w:tcPr>
            <w:tcW w:w="5209"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 xml:space="preserve">无钥匙进入控制单元正极电源线路断路 </w:t>
            </w:r>
          </w:p>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p>
        </w:tc>
        <w:tc>
          <w:tcPr>
            <w:tcW w:w="3221" w:type="dxa"/>
            <w:shd w:val="clear" w:color="auto" w:fill="auto"/>
            <w:vAlign w:val="center"/>
          </w:tcPr>
          <w:p>
            <w:pPr>
              <w:keepNext w:val="0"/>
              <w:keepLines w:val="0"/>
              <w:widowControl/>
              <w:suppressLineNumbers w:val="0"/>
              <w:jc w:val="left"/>
              <w:rPr>
                <w:rFonts w:ascii="Times New Roman" w:hAnsi="Times New Roman" w:eastAsia="仿宋_GB2312"/>
                <w:color w:val="000000" w:themeColor="text1"/>
                <w:sz w:val="28"/>
                <w:szCs w:val="28"/>
                <w:highlight w:val="none"/>
                <w14:textFill>
                  <w14:solidFill>
                    <w14:schemeClr w14:val="tx1"/>
                  </w14:solidFill>
                </w14:textFill>
              </w:rPr>
            </w:pPr>
            <w:r>
              <w:rPr>
                <w:rFonts w:ascii="仿宋_GB2312" w:hAnsi="宋体" w:eastAsia="仿宋_GB2312" w:cs="仿宋_GB2312"/>
                <w:color w:val="000000"/>
                <w:kern w:val="0"/>
                <w:sz w:val="28"/>
                <w:szCs w:val="28"/>
                <w:highlight w:val="none"/>
                <w:lang w:val="en-US" w:eastAsia="zh-CN" w:bidi="ar"/>
              </w:rPr>
              <w:t>起动机不转，发动</w:t>
            </w:r>
            <w:r>
              <w:rPr>
                <w:rFonts w:hint="eastAsia" w:ascii="仿宋_GB2312" w:hAnsi="宋体" w:eastAsia="仿宋_GB2312" w:cs="仿宋_GB2312"/>
                <w:color w:val="000000"/>
                <w:kern w:val="0"/>
                <w:sz w:val="28"/>
                <w:szCs w:val="28"/>
                <w:highlight w:val="none"/>
                <w:lang w:val="en-US" w:eastAsia="zh-CN" w:bidi="ar"/>
              </w:rPr>
              <w:t>机无法起动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2</w:t>
            </w:r>
          </w:p>
        </w:tc>
        <w:tc>
          <w:tcPr>
            <w:tcW w:w="5209"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发动机控制单元供电电路断路</w:t>
            </w:r>
          </w:p>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p>
        </w:tc>
        <w:tc>
          <w:tcPr>
            <w:tcW w:w="3221"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 xml:space="preserve">起动机不转，发动 </w:t>
            </w:r>
          </w:p>
          <w:p>
            <w:pPr>
              <w:keepNext w:val="0"/>
              <w:keepLines w:val="0"/>
              <w:widowControl/>
              <w:suppressLineNumbers w:val="0"/>
              <w:jc w:val="left"/>
              <w:rPr>
                <w:rFonts w:ascii="Times New Roman" w:hAnsi="Times New Roman" w:eastAsia="仿宋_GB2312"/>
                <w:color w:val="000000" w:themeColor="text1"/>
                <w:sz w:val="28"/>
                <w:szCs w:val="28"/>
                <w:highlight w:val="none"/>
                <w14:textFill>
                  <w14:solidFill>
                    <w14:schemeClr w14:val="tx1"/>
                  </w14:solidFill>
                </w14:textFill>
              </w:rPr>
            </w:pPr>
            <w:r>
              <w:rPr>
                <w:rFonts w:hint="eastAsia" w:ascii="仿宋_GB2312" w:hAnsi="宋体" w:eastAsia="仿宋_GB2312" w:cs="仿宋_GB2312"/>
                <w:color w:val="000000"/>
                <w:kern w:val="0"/>
                <w:sz w:val="28"/>
                <w:szCs w:val="28"/>
                <w:highlight w:val="none"/>
                <w:lang w:val="en-US" w:eastAsia="zh-CN" w:bidi="ar"/>
              </w:rPr>
              <w:t>机无法起动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3</w:t>
            </w:r>
          </w:p>
        </w:tc>
        <w:tc>
          <w:tcPr>
            <w:tcW w:w="5209" w:type="dxa"/>
            <w:shd w:val="clear" w:color="auto" w:fill="auto"/>
            <w:vAlign w:val="center"/>
          </w:tcPr>
          <w:p>
            <w:pPr>
              <w:keepNext w:val="0"/>
              <w:keepLines w:val="0"/>
              <w:widowControl/>
              <w:suppressLineNumbers w:val="0"/>
              <w:jc w:val="left"/>
              <w:rPr>
                <w:rFonts w:ascii="Times New Roman" w:hAnsi="Times New Roman" w:eastAsia="仿宋_GB2312"/>
                <w:color w:val="000000" w:themeColor="text1"/>
                <w:sz w:val="28"/>
                <w:szCs w:val="28"/>
                <w:highlight w:val="none"/>
                <w14:textFill>
                  <w14:solidFill>
                    <w14:schemeClr w14:val="tx1"/>
                  </w14:solidFill>
                </w14:textFill>
              </w:rPr>
            </w:pPr>
            <w:r>
              <w:rPr>
                <w:rFonts w:ascii="仿宋_GB2312" w:hAnsi="宋体" w:eastAsia="仿宋_GB2312" w:cs="仿宋_GB2312"/>
                <w:color w:val="000000"/>
                <w:kern w:val="0"/>
                <w:sz w:val="28"/>
                <w:szCs w:val="28"/>
                <w:highlight w:val="none"/>
                <w:lang w:val="en-US" w:eastAsia="zh-CN" w:bidi="ar"/>
              </w:rPr>
              <w:t>燃油泵控制单元供电断路</w:t>
            </w:r>
          </w:p>
        </w:tc>
        <w:tc>
          <w:tcPr>
            <w:tcW w:w="3221"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 xml:space="preserve">起动机正常运转， </w:t>
            </w:r>
          </w:p>
          <w:p>
            <w:pPr>
              <w:keepNext w:val="0"/>
              <w:keepLines w:val="0"/>
              <w:widowControl/>
              <w:suppressLineNumbers w:val="0"/>
              <w:jc w:val="left"/>
              <w:rPr>
                <w:rFonts w:ascii="Times New Roman" w:hAnsi="Times New Roman" w:eastAsia="仿宋_GB2312"/>
                <w:color w:val="000000" w:themeColor="text1"/>
                <w:sz w:val="28"/>
                <w:szCs w:val="28"/>
                <w:highlight w:val="none"/>
                <w14:textFill>
                  <w14:solidFill>
                    <w14:schemeClr w14:val="tx1"/>
                  </w14:solidFill>
                </w14:textFill>
              </w:rPr>
            </w:pPr>
            <w:r>
              <w:rPr>
                <w:rFonts w:hint="eastAsia" w:ascii="仿宋_GB2312" w:hAnsi="宋体" w:eastAsia="仿宋_GB2312" w:cs="仿宋_GB2312"/>
                <w:color w:val="000000"/>
                <w:kern w:val="0"/>
                <w:sz w:val="28"/>
                <w:szCs w:val="28"/>
                <w:highlight w:val="none"/>
                <w:lang w:val="en-US" w:eastAsia="zh-CN" w:bidi="ar"/>
              </w:rPr>
              <w:t>但发动机无法起动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4</w:t>
            </w:r>
          </w:p>
        </w:tc>
        <w:tc>
          <w:tcPr>
            <w:tcW w:w="5209" w:type="dxa"/>
            <w:shd w:val="clear" w:color="auto" w:fill="auto"/>
            <w:vAlign w:val="center"/>
          </w:tcPr>
          <w:p>
            <w:pPr>
              <w:keepNext w:val="0"/>
              <w:keepLines w:val="0"/>
              <w:widowControl/>
              <w:suppressLineNumbers w:val="0"/>
              <w:jc w:val="left"/>
              <w:rPr>
                <w:rFonts w:ascii="Times New Roman" w:hAnsi="Times New Roman" w:eastAsia="仿宋_GB2312"/>
                <w:color w:val="000000" w:themeColor="text1"/>
                <w:sz w:val="28"/>
                <w:szCs w:val="28"/>
                <w:highlight w:val="none"/>
                <w14:textFill>
                  <w14:solidFill>
                    <w14:schemeClr w14:val="tx1"/>
                  </w14:solidFill>
                </w14:textFill>
              </w:rPr>
            </w:pPr>
            <w:r>
              <w:rPr>
                <w:rFonts w:ascii="仿宋_GB2312" w:hAnsi="宋体" w:eastAsia="仿宋_GB2312" w:cs="仿宋_GB2312"/>
                <w:color w:val="000000"/>
                <w:kern w:val="0"/>
                <w:sz w:val="28"/>
                <w:szCs w:val="28"/>
                <w:highlight w:val="none"/>
                <w:lang w:val="en-US" w:eastAsia="zh-CN" w:bidi="ar"/>
              </w:rPr>
              <w:t>一缸点火线圈驱动信号虚接（</w:t>
            </w:r>
            <w:r>
              <w:rPr>
                <w:rFonts w:hint="default" w:ascii="Times New Roman" w:hAnsi="Times New Roman" w:eastAsia="宋体" w:cs="Times New Roman"/>
                <w:color w:val="000000"/>
                <w:kern w:val="0"/>
                <w:sz w:val="28"/>
                <w:szCs w:val="28"/>
                <w:highlight w:val="none"/>
                <w:lang w:val="en-US" w:eastAsia="zh-CN" w:bidi="ar"/>
              </w:rPr>
              <w:t>1000</w:t>
            </w:r>
            <w:r>
              <w:rPr>
                <w:rFonts w:hint="eastAsia" w:ascii="仿宋_GB2312" w:hAnsi="宋体" w:eastAsia="仿宋_GB2312" w:cs="仿宋_GB2312"/>
                <w:color w:val="000000"/>
                <w:kern w:val="0"/>
                <w:sz w:val="28"/>
                <w:szCs w:val="28"/>
                <w:highlight w:val="none"/>
                <w:lang w:val="en-US" w:eastAsia="zh-CN" w:bidi="ar"/>
              </w:rPr>
              <w:t>Ω）</w:t>
            </w:r>
          </w:p>
        </w:tc>
        <w:tc>
          <w:tcPr>
            <w:tcW w:w="3221" w:type="dxa"/>
            <w:shd w:val="clear" w:color="auto" w:fill="auto"/>
            <w:vAlign w:val="center"/>
          </w:tcPr>
          <w:p>
            <w:pPr>
              <w:keepNext w:val="0"/>
              <w:keepLines w:val="0"/>
              <w:widowControl/>
              <w:suppressLineNumbers w:val="0"/>
              <w:jc w:val="left"/>
              <w:rPr>
                <w:rFonts w:ascii="Times New Roman" w:hAnsi="Times New Roman" w:eastAsia="仿宋_GB2312"/>
                <w:color w:val="000000" w:themeColor="text1"/>
                <w:sz w:val="28"/>
                <w:szCs w:val="28"/>
                <w:highlight w:val="none"/>
                <w14:textFill>
                  <w14:solidFill>
                    <w14:schemeClr w14:val="tx1"/>
                  </w14:solidFill>
                </w14:textFill>
              </w:rPr>
            </w:pPr>
            <w:r>
              <w:rPr>
                <w:rFonts w:ascii="仿宋_GB2312" w:hAnsi="宋体" w:eastAsia="仿宋_GB2312" w:cs="仿宋_GB2312"/>
                <w:color w:val="000000"/>
                <w:kern w:val="0"/>
                <w:sz w:val="28"/>
                <w:szCs w:val="28"/>
                <w:highlight w:val="none"/>
                <w:lang w:val="en-US" w:eastAsia="zh-CN" w:bidi="ar"/>
              </w:rPr>
              <w:t>发动机运转不良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5</w:t>
            </w:r>
          </w:p>
        </w:tc>
        <w:tc>
          <w:tcPr>
            <w:tcW w:w="5209" w:type="dxa"/>
            <w:shd w:val="clear" w:color="auto" w:fill="auto"/>
            <w:vAlign w:val="center"/>
          </w:tcPr>
          <w:p>
            <w:pPr>
              <w:keepNext w:val="0"/>
              <w:keepLines w:val="0"/>
              <w:widowControl/>
              <w:suppressLineNumbers w:val="0"/>
              <w:jc w:val="left"/>
              <w:rPr>
                <w:rFonts w:ascii="Times New Roman" w:hAnsi="Times New Roman" w:eastAsia="仿宋_GB2312"/>
                <w:color w:val="auto"/>
                <w:sz w:val="28"/>
                <w:szCs w:val="28"/>
                <w:highlight w:val="none"/>
              </w:rPr>
            </w:pPr>
            <w:r>
              <w:rPr>
                <w:rFonts w:ascii="仿宋_GB2312" w:hAnsi="宋体" w:eastAsia="仿宋_GB2312" w:cs="仿宋_GB2312"/>
                <w:color w:val="000000"/>
                <w:kern w:val="0"/>
                <w:sz w:val="28"/>
                <w:szCs w:val="28"/>
                <w:highlight w:val="none"/>
                <w:lang w:val="en-US" w:eastAsia="zh-CN" w:bidi="ar"/>
              </w:rPr>
              <w:t>采集故障波形</w:t>
            </w:r>
          </w:p>
        </w:tc>
        <w:tc>
          <w:tcPr>
            <w:tcW w:w="3221" w:type="dxa"/>
            <w:shd w:val="clear" w:color="auto" w:fill="auto"/>
            <w:vAlign w:val="center"/>
          </w:tcPr>
          <w:p>
            <w:pPr>
              <w:keepNext w:val="0"/>
              <w:keepLines w:val="0"/>
              <w:widowControl/>
              <w:suppressLineNumbers w:val="0"/>
              <w:jc w:val="left"/>
              <w:rPr>
                <w:rFonts w:ascii="Times New Roman" w:hAnsi="Times New Roman" w:eastAsia="仿宋_GB2312"/>
                <w:color w:val="auto"/>
                <w:sz w:val="28"/>
                <w:szCs w:val="28"/>
                <w:highlight w:val="none"/>
              </w:rPr>
            </w:pPr>
            <w:r>
              <w:rPr>
                <w:rFonts w:ascii="仿宋_GB2312" w:hAnsi="宋体" w:eastAsia="仿宋_GB2312" w:cs="仿宋_GB2312"/>
                <w:color w:val="000000"/>
                <w:kern w:val="0"/>
                <w:sz w:val="28"/>
                <w:szCs w:val="28"/>
                <w:highlight w:val="none"/>
                <w:lang w:val="en-US" w:eastAsia="zh-CN" w:bidi="ar"/>
              </w:rPr>
              <w:t xml:space="preserve">发动机运转不良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6</w:t>
            </w:r>
          </w:p>
        </w:tc>
        <w:tc>
          <w:tcPr>
            <w:tcW w:w="5209"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玻璃升降器开关信号线路断路</w:t>
            </w:r>
          </w:p>
          <w:p>
            <w:pPr>
              <w:adjustRightInd w:val="0"/>
              <w:snapToGrid w:val="0"/>
              <w:jc w:val="center"/>
              <w:rPr>
                <w:rFonts w:ascii="Times New Roman" w:hAnsi="Times New Roman" w:eastAsia="仿宋_GB2312"/>
                <w:color w:val="auto"/>
                <w:sz w:val="28"/>
                <w:szCs w:val="28"/>
                <w:highlight w:val="none"/>
              </w:rPr>
            </w:pPr>
          </w:p>
        </w:tc>
        <w:tc>
          <w:tcPr>
            <w:tcW w:w="3221"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电动车窗故障</w:t>
            </w:r>
          </w:p>
          <w:p>
            <w:pPr>
              <w:adjustRightInd w:val="0"/>
              <w:snapToGrid w:val="0"/>
              <w:jc w:val="center"/>
              <w:rPr>
                <w:rFonts w:ascii="Times New Roman" w:hAnsi="Times New Roman"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7</w:t>
            </w:r>
          </w:p>
        </w:tc>
        <w:tc>
          <w:tcPr>
            <w:tcW w:w="5209"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 xml:space="preserve">中控门锁电机供电线路断路 </w:t>
            </w:r>
          </w:p>
          <w:p>
            <w:pPr>
              <w:adjustRightInd w:val="0"/>
              <w:snapToGrid w:val="0"/>
              <w:jc w:val="center"/>
              <w:rPr>
                <w:rFonts w:ascii="Times New Roman" w:hAnsi="Times New Roman" w:eastAsia="仿宋_GB2312"/>
                <w:color w:val="auto"/>
                <w:sz w:val="28"/>
                <w:szCs w:val="28"/>
                <w:highlight w:val="none"/>
              </w:rPr>
            </w:pPr>
          </w:p>
        </w:tc>
        <w:tc>
          <w:tcPr>
            <w:tcW w:w="3221" w:type="dxa"/>
            <w:shd w:val="clear" w:color="auto" w:fill="auto"/>
            <w:vAlign w:val="center"/>
          </w:tcPr>
          <w:p>
            <w:pPr>
              <w:keepNext w:val="0"/>
              <w:keepLines w:val="0"/>
              <w:widowControl/>
              <w:suppressLineNumbers w:val="0"/>
              <w:jc w:val="left"/>
              <w:rPr>
                <w:highlight w:val="none"/>
              </w:rPr>
            </w:pPr>
            <w:r>
              <w:rPr>
                <w:rFonts w:ascii="仿宋_GB2312" w:hAnsi="宋体" w:eastAsia="仿宋_GB2312" w:cs="仿宋_GB2312"/>
                <w:color w:val="000000"/>
                <w:kern w:val="0"/>
                <w:sz w:val="28"/>
                <w:szCs w:val="28"/>
                <w:highlight w:val="none"/>
                <w:lang w:val="en-US" w:eastAsia="zh-CN" w:bidi="ar"/>
              </w:rPr>
              <w:t xml:space="preserve">中控门锁故障 </w:t>
            </w:r>
          </w:p>
          <w:p>
            <w:pPr>
              <w:adjustRightInd w:val="0"/>
              <w:snapToGrid w:val="0"/>
              <w:jc w:val="center"/>
              <w:rPr>
                <w:rFonts w:ascii="Times New Roman" w:hAnsi="Times New Roman" w:eastAsia="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8</w:t>
            </w:r>
          </w:p>
        </w:tc>
        <w:tc>
          <w:tcPr>
            <w:tcW w:w="5209" w:type="dxa"/>
            <w:shd w:val="clear" w:color="auto" w:fill="auto"/>
            <w:vAlign w:val="center"/>
          </w:tcPr>
          <w:p>
            <w:pPr>
              <w:keepNext w:val="0"/>
              <w:keepLines w:val="0"/>
              <w:widowControl/>
              <w:suppressLineNumbers w:val="0"/>
              <w:jc w:val="left"/>
              <w:rPr>
                <w:rFonts w:ascii="Times New Roman" w:hAnsi="Times New Roman" w:eastAsia="仿宋_GB2312"/>
                <w:color w:val="auto"/>
                <w:sz w:val="28"/>
                <w:szCs w:val="28"/>
                <w:highlight w:val="none"/>
              </w:rPr>
            </w:pPr>
            <w:r>
              <w:rPr>
                <w:rFonts w:ascii="仿宋_GB2312" w:hAnsi="宋体" w:eastAsia="仿宋_GB2312" w:cs="仿宋_GB2312"/>
                <w:color w:val="000000"/>
                <w:kern w:val="0"/>
                <w:sz w:val="28"/>
                <w:szCs w:val="28"/>
                <w:highlight w:val="none"/>
                <w:lang w:val="en-US" w:eastAsia="zh-CN" w:bidi="ar"/>
              </w:rPr>
              <w:t>后视镜调整开关信号线断路</w:t>
            </w:r>
          </w:p>
        </w:tc>
        <w:tc>
          <w:tcPr>
            <w:tcW w:w="3221" w:type="dxa"/>
            <w:shd w:val="clear" w:color="auto" w:fill="auto"/>
            <w:vAlign w:val="center"/>
          </w:tcPr>
          <w:p>
            <w:pPr>
              <w:keepNext w:val="0"/>
              <w:keepLines w:val="0"/>
              <w:widowControl/>
              <w:suppressLineNumbers w:val="0"/>
              <w:jc w:val="left"/>
              <w:rPr>
                <w:rFonts w:ascii="Times New Roman" w:hAnsi="Times New Roman" w:eastAsia="仿宋_GB2312"/>
                <w:color w:val="auto"/>
                <w:sz w:val="28"/>
                <w:szCs w:val="28"/>
                <w:highlight w:val="none"/>
              </w:rPr>
            </w:pPr>
            <w:r>
              <w:rPr>
                <w:rFonts w:ascii="仿宋_GB2312" w:hAnsi="宋体" w:eastAsia="仿宋_GB2312" w:cs="仿宋_GB2312"/>
                <w:color w:val="000000"/>
                <w:kern w:val="0"/>
                <w:sz w:val="28"/>
                <w:szCs w:val="28"/>
                <w:highlight w:val="none"/>
                <w:lang w:val="en-US" w:eastAsia="zh-CN" w:bidi="ar"/>
              </w:rPr>
              <w:t>后视镜故障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05" w:type="dxa"/>
            <w:shd w:val="clear" w:color="auto" w:fill="auto"/>
            <w:vAlign w:val="center"/>
          </w:tcPr>
          <w:p>
            <w:pPr>
              <w:adjustRightInd w:val="0"/>
              <w:snapToGrid w:val="0"/>
              <w:jc w:val="cente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9</w:t>
            </w:r>
          </w:p>
        </w:tc>
        <w:tc>
          <w:tcPr>
            <w:tcW w:w="5209" w:type="dxa"/>
            <w:shd w:val="clear" w:color="auto" w:fill="auto"/>
            <w:vAlign w:val="center"/>
          </w:tcPr>
          <w:p>
            <w:pPr>
              <w:keepNext w:val="0"/>
              <w:keepLines w:val="0"/>
              <w:widowControl/>
              <w:suppressLineNumbers w:val="0"/>
              <w:jc w:val="left"/>
              <w:rPr>
                <w:rFonts w:ascii="仿宋_GB2312" w:hAnsi="宋体" w:eastAsia="仿宋_GB2312" w:cs="仿宋_GB2312"/>
                <w:color w:val="000000"/>
                <w:kern w:val="0"/>
                <w:sz w:val="28"/>
                <w:szCs w:val="28"/>
                <w:highlight w:val="none"/>
                <w:lang w:val="en-US" w:eastAsia="zh-CN" w:bidi="ar"/>
              </w:rPr>
            </w:pPr>
            <w:r>
              <w:rPr>
                <w:rFonts w:ascii="仿宋_GB2312" w:hAnsi="宋体" w:eastAsia="仿宋_GB2312" w:cs="仿宋_GB2312"/>
                <w:color w:val="000000"/>
                <w:kern w:val="0"/>
                <w:sz w:val="28"/>
                <w:szCs w:val="28"/>
                <w:highlight w:val="none"/>
                <w:lang w:val="en-US" w:eastAsia="zh-CN" w:bidi="ar"/>
              </w:rPr>
              <w:t>灯光开关信号线与搭铁短路</w:t>
            </w:r>
          </w:p>
        </w:tc>
        <w:tc>
          <w:tcPr>
            <w:tcW w:w="3221" w:type="dxa"/>
            <w:shd w:val="clear" w:color="auto" w:fill="auto"/>
            <w:vAlign w:val="center"/>
          </w:tcPr>
          <w:p>
            <w:pPr>
              <w:keepNext w:val="0"/>
              <w:keepLines w:val="0"/>
              <w:widowControl/>
              <w:suppressLineNumbers w:val="0"/>
              <w:jc w:val="left"/>
              <w:rPr>
                <w:rFonts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灯光故障</w:t>
            </w:r>
          </w:p>
        </w:tc>
      </w:tr>
    </w:tbl>
    <w:p>
      <w:pPr>
        <w:adjustRightInd w:val="0"/>
        <w:snapToGrid w:val="0"/>
        <w:jc w:val="center"/>
        <w:rPr>
          <w:rFonts w:ascii="Times New Roman" w:hAnsi="Times New Roman" w:eastAsia="仿宋_GB2312"/>
          <w:b/>
          <w:bCs/>
          <w:color w:val="000000" w:themeColor="text1"/>
          <w:sz w:val="28"/>
          <w:szCs w:val="28"/>
          <w:highlight w:val="none"/>
          <w14:textFill>
            <w14:solidFill>
              <w14:schemeClr w14:val="tx1"/>
            </w14:solidFill>
          </w14:textFill>
        </w:rPr>
      </w:pPr>
    </w:p>
    <w:p>
      <w:pPr>
        <w:keepNext w:val="0"/>
        <w:keepLines w:val="0"/>
        <w:widowControl/>
        <w:suppressLineNumbers w:val="0"/>
        <w:jc w:val="left"/>
        <w:rPr>
          <w:highlight w:val="none"/>
        </w:rPr>
      </w:pPr>
      <w:r>
        <w:rPr>
          <w:rFonts w:ascii="Times New Roman" w:hAnsi="Times New Roman" w:eastAsia="仿宋_GB2312"/>
          <w:color w:val="000000" w:themeColor="text1"/>
          <w:sz w:val="28"/>
          <w:szCs w:val="28"/>
          <w:highlight w:val="none"/>
          <w14:textFill>
            <w14:solidFill>
              <w14:schemeClr w14:val="tx1"/>
            </w14:solidFill>
          </w14:textFill>
        </w:rPr>
        <w:t>说明：</w:t>
      </w:r>
      <w:r>
        <w:rPr>
          <w:rFonts w:ascii="仿宋_GB2312" w:hAnsi="宋体" w:eastAsia="仿宋_GB2312" w:cs="仿宋_GB2312"/>
          <w:color w:val="000000"/>
          <w:kern w:val="0"/>
          <w:sz w:val="24"/>
          <w:szCs w:val="24"/>
          <w:highlight w:val="none"/>
          <w:lang w:val="en-US" w:eastAsia="zh-CN" w:bidi="ar"/>
        </w:rPr>
        <w:t xml:space="preserve">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1.</w:t>
      </w:r>
      <w:r>
        <w:rPr>
          <w:rFonts w:hint="eastAsia" w:ascii="仿宋_GB2312" w:hAnsi="宋体" w:eastAsia="仿宋_GB2312" w:cs="仿宋_GB2312"/>
          <w:color w:val="000000"/>
          <w:kern w:val="0"/>
          <w:sz w:val="24"/>
          <w:szCs w:val="24"/>
          <w:highlight w:val="none"/>
          <w:lang w:val="en-US" w:eastAsia="zh-CN" w:bidi="ar"/>
        </w:rPr>
        <w:t>模块各任务故障点数量不是固定的，故障点总数为不少于6</w:t>
      </w:r>
      <w:r>
        <w:rPr>
          <w:rFonts w:hint="default" w:ascii="Times New Roman" w:hAnsi="Times New Roman" w:eastAsia="宋体" w:cs="Times New Roman"/>
          <w:color w:val="000000"/>
          <w:kern w:val="0"/>
          <w:sz w:val="24"/>
          <w:szCs w:val="24"/>
          <w:highlight w:val="none"/>
          <w:lang w:val="en-US" w:eastAsia="zh-CN" w:bidi="ar"/>
        </w:rPr>
        <w:t xml:space="preserve"> </w:t>
      </w:r>
      <w:r>
        <w:rPr>
          <w:rFonts w:hint="eastAsia" w:ascii="仿宋_GB2312" w:hAnsi="宋体" w:eastAsia="仿宋_GB2312" w:cs="仿宋_GB2312"/>
          <w:color w:val="000000"/>
          <w:kern w:val="0"/>
          <w:sz w:val="24"/>
          <w:szCs w:val="24"/>
          <w:highlight w:val="none"/>
          <w:lang w:val="en-US" w:eastAsia="zh-CN" w:bidi="ar"/>
        </w:rPr>
        <w:t xml:space="preserve">个。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2.</w:t>
      </w:r>
      <w:r>
        <w:rPr>
          <w:rFonts w:hint="eastAsia" w:ascii="仿宋_GB2312" w:hAnsi="宋体" w:eastAsia="仿宋_GB2312" w:cs="仿宋_GB2312"/>
          <w:color w:val="000000"/>
          <w:kern w:val="0"/>
          <w:sz w:val="24"/>
          <w:szCs w:val="24"/>
          <w:highlight w:val="none"/>
          <w:lang w:val="en-US" w:eastAsia="zh-CN" w:bidi="ar"/>
        </w:rPr>
        <w:t xml:space="preserve">诊断发动机无法起动故障时，不得使用诊断仪。 </w:t>
      </w:r>
    </w:p>
    <w:p>
      <w:pPr>
        <w:keepNext w:val="0"/>
        <w:keepLines w:val="0"/>
        <w:widowControl/>
        <w:suppressLineNumbers w:val="0"/>
        <w:jc w:val="left"/>
        <w:rPr>
          <w:rFonts w:hint="default"/>
          <w:highlight w:val="none"/>
          <w:lang w:val="en-US"/>
        </w:rPr>
      </w:pPr>
      <w:r>
        <w:rPr>
          <w:rFonts w:hint="default" w:ascii="Times New Roman" w:hAnsi="Times New Roman" w:eastAsia="宋体" w:cs="Times New Roman"/>
          <w:color w:val="000000"/>
          <w:kern w:val="0"/>
          <w:sz w:val="24"/>
          <w:szCs w:val="24"/>
          <w:highlight w:val="none"/>
          <w:lang w:val="en-US" w:eastAsia="zh-CN" w:bidi="ar"/>
        </w:rPr>
        <w:t>3.</w:t>
      </w:r>
      <w:r>
        <w:rPr>
          <w:rFonts w:hint="eastAsia" w:ascii="仿宋_GB2312" w:hAnsi="宋体" w:eastAsia="仿宋_GB2312" w:cs="仿宋_GB2312"/>
          <w:color w:val="000000"/>
          <w:kern w:val="0"/>
          <w:sz w:val="24"/>
          <w:szCs w:val="24"/>
          <w:highlight w:val="none"/>
          <w:lang w:val="en-US" w:eastAsia="zh-CN" w:bidi="ar"/>
        </w:rPr>
        <w:t>确定故障的作业中，没有特定的顺序要求。</w:t>
      </w:r>
    </w:p>
    <w:p>
      <w:pPr>
        <w:spacing w:line="360" w:lineRule="auto"/>
        <w:rPr>
          <w:rFonts w:ascii="Times New Roman" w:hAnsi="Times New Roman"/>
          <w:color w:val="000000" w:themeColor="text1"/>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color w:val="000000" w:themeColor="text1"/>
          <w:highlight w:val="none"/>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t>附件7</w:t>
      </w:r>
    </w:p>
    <w:p>
      <w:pPr>
        <w:pStyle w:val="5"/>
        <w:jc w:val="center"/>
        <w:rPr>
          <w:rFonts w:ascii="Times New Roman" w:hAnsi="Times New Roman" w:eastAsia="黑体"/>
          <w:b/>
          <w:bCs/>
          <w:color w:val="000000" w:themeColor="text1"/>
          <w:sz w:val="32"/>
          <w:szCs w:val="32"/>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rPr>
          <w:rFonts w:ascii="Times New Roman" w:hAnsi="Times New Roman"/>
          <w:color w:val="000000" w:themeColor="text1"/>
          <w:highlight w:val="none"/>
          <w14:textFill>
            <w14:solidFill>
              <w14:schemeClr w14:val="tx1"/>
            </w14:solidFill>
          </w14:textFill>
        </w:rPr>
      </w:pPr>
    </w:p>
    <w:p>
      <w:pPr>
        <w:pStyle w:val="5"/>
        <w:jc w:val="center"/>
        <w:rPr>
          <w:rFonts w:ascii="Times New Roman" w:hAnsi="Times New Roman" w:eastAsia="仿宋_GB2312"/>
          <w:b/>
          <w:bCs/>
          <w:color w:val="000000" w:themeColor="text1"/>
          <w:highlight w:val="none"/>
          <w14:textFill>
            <w14:solidFill>
              <w14:schemeClr w14:val="tx1"/>
            </w14:solidFill>
          </w14:textFill>
        </w:rPr>
      </w:pPr>
      <w:r>
        <w:rPr>
          <w:rFonts w:ascii="Times New Roman" w:hAnsi="Times New Roman" w:eastAsia="仿宋_GB2312"/>
          <w:b/>
          <w:bCs/>
          <w:color w:val="000000" w:themeColor="text1"/>
          <w:highlight w:val="none"/>
          <w14:textFill>
            <w14:solidFill>
              <w14:schemeClr w14:val="tx1"/>
            </w14:solidFill>
          </w14:textFill>
        </w:rPr>
        <w:t>《模块B发动机及车身电控系统故障检修》样题参考答案举例</w:t>
      </w:r>
    </w:p>
    <w:tbl>
      <w:tblPr>
        <w:tblStyle w:val="1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6993"/>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41" w:type="dxa"/>
            <w:tcBorders>
              <w:top w:val="single" w:color="000000" w:sz="8" w:space="0"/>
              <w:left w:val="single" w:color="000000" w:sz="8" w:space="0"/>
              <w:bottom w:val="single" w:color="000000" w:sz="8" w:space="0"/>
              <w:right w:val="single" w:color="000000" w:sz="8" w:space="0"/>
            </w:tcBorders>
            <w:shd w:val="clear" w:color="auto" w:fill="F1F1F1"/>
            <w:vAlign w:val="center"/>
          </w:tcPr>
          <w:p>
            <w:pPr>
              <w:adjustRightInd w:val="0"/>
              <w:snapToGrid w:val="0"/>
              <w:spacing w:line="360" w:lineRule="auto"/>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项目</w:t>
            </w:r>
          </w:p>
        </w:tc>
        <w:tc>
          <w:tcPr>
            <w:tcW w:w="6993" w:type="dxa"/>
            <w:tcBorders>
              <w:top w:val="single" w:color="000000" w:sz="8" w:space="0"/>
              <w:left w:val="single" w:color="000000" w:sz="8" w:space="0"/>
              <w:bottom w:val="single" w:color="000000" w:sz="8" w:space="0"/>
              <w:right w:val="single" w:color="000000" w:sz="8" w:space="0"/>
            </w:tcBorders>
            <w:shd w:val="clear" w:color="auto" w:fill="F1F1F1"/>
            <w:vAlign w:val="center"/>
          </w:tcPr>
          <w:p>
            <w:pPr>
              <w:adjustRightInd w:val="0"/>
              <w:snapToGrid w:val="0"/>
              <w:spacing w:line="360" w:lineRule="auto"/>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内容</w:t>
            </w:r>
          </w:p>
        </w:tc>
        <w:tc>
          <w:tcPr>
            <w:tcW w:w="1037" w:type="dxa"/>
            <w:tcBorders>
              <w:top w:val="single" w:color="000000" w:sz="8" w:space="0"/>
              <w:left w:val="single" w:color="000000" w:sz="8" w:space="0"/>
              <w:bottom w:val="single" w:color="000000" w:sz="8" w:space="0"/>
              <w:right w:val="single" w:color="000000" w:sz="8" w:space="0"/>
            </w:tcBorders>
            <w:shd w:val="clear" w:color="auto" w:fill="F1F1F1"/>
            <w:vAlign w:val="center"/>
          </w:tcPr>
          <w:p>
            <w:pPr>
              <w:adjustRightInd w:val="0"/>
              <w:snapToGrid w:val="0"/>
              <w:spacing w:line="360" w:lineRule="auto"/>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1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故障现象描述</w:t>
            </w:r>
          </w:p>
        </w:tc>
        <w:tc>
          <w:tcPr>
            <w:tcW w:w="69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1.无钥匙进入功能失效，钥匙指示灯不闪烁，但遥控钥匙解锁正常；</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2.打开车门，仪表显示车门开启状态正常，但钥匙指示灯不闪烁，一键起动开关背景灯不能点亮；</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3.操作一键起动开关，钥匙指示灯不闪烁，方向盘不能正常解锁，仪表未点亮；4.应急起动失效</w:t>
            </w:r>
          </w:p>
        </w:tc>
        <w:tc>
          <w:tcPr>
            <w:tcW w:w="10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1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通过分析得出故障可能原因</w:t>
            </w:r>
          </w:p>
        </w:tc>
        <w:tc>
          <w:tcPr>
            <w:tcW w:w="69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1.操作无钥匙进入时，钥匙指示灯不能闪烁，说明“各车门触摸传感器→起动许可控制模块→室外天线→钥匙”工作异常；</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拉开车门时钥匙指示灯不能闪烁，说明“门碰开关→车门控制模块（通过CAN）→起动许可控制模块→室内天线→钥匙”工作异常，但仪表显示车门开启状态正常，说明“车门触碰开关→车门控制模块（通过CAN）→仪表模块”工作正常；</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3.打开一键起动开关时钥匙指示灯不能闪烁，说明“一键起动开关→起动许可控制模块→室内天线→钥匙、起动许可控制模块（通过CAN）→仪表模块”工作异常；</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根据故障机率，各车门触摸传感器、车门触碰开关、一键起动开关、各天线同时损坏概率较小，造成以上三种故障的原因可能为共性即起动许可控制模块工作异常。可能的故障原因：起动许可控制模块自身故障或电源电路故障</w:t>
            </w:r>
          </w:p>
        </w:tc>
        <w:tc>
          <w:tcPr>
            <w:tcW w:w="10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维修资料查阅</w:t>
            </w:r>
          </w:p>
        </w:tc>
        <w:tc>
          <w:tcPr>
            <w:tcW w:w="69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电路图（样题略）</w:t>
            </w:r>
          </w:p>
        </w:tc>
        <w:tc>
          <w:tcPr>
            <w:tcW w:w="10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2" w:hRule="atLeast"/>
          <w:jc w:val="center"/>
        </w:trPr>
        <w:tc>
          <w:tcPr>
            <w:tcW w:w="1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故障检修过程</w:t>
            </w:r>
          </w:p>
        </w:tc>
        <w:tc>
          <w:tcPr>
            <w:tcW w:w="6993" w:type="dxa"/>
            <w:tcBorders>
              <w:top w:val="single" w:color="000000" w:sz="8" w:space="0"/>
              <w:left w:val="single" w:color="000000" w:sz="8" w:space="0"/>
              <w:bottom w:val="single" w:color="000000" w:sz="8" w:space="0"/>
              <w:right w:val="single" w:color="000000" w:sz="8" w:space="0"/>
            </w:tcBorders>
            <w:shd w:val="clear" w:color="auto" w:fill="FFFFFF"/>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1.测量起动许可控制模块的供电端子和搭铁端子对地电压：正常分别为+B、0V，实测供电端子为0V，异常；</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2.测量该模块供电保险的输入、输出端对地电压，正常应均为+B，实测一端为+B，另一端为0V，异常，说明供电保险断路；</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3.关闭一键起动开关，拔下供电保险，测量电阻为无穷大，异常；</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4.拆下蓄电池负极接线，测量该保险输出座孔对地阻值，应为无穷大，实测正常；5.更换故障保险，系统恢复正常</w:t>
            </w:r>
          </w:p>
        </w:tc>
        <w:tc>
          <w:tcPr>
            <w:tcW w:w="10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故障点和故障类型确认</w:t>
            </w:r>
          </w:p>
        </w:tc>
        <w:tc>
          <w:tcPr>
            <w:tcW w:w="6993" w:type="dxa"/>
            <w:tcBorders>
              <w:top w:val="single" w:color="000000" w:sz="8" w:space="0"/>
              <w:left w:val="single" w:color="000000" w:sz="8" w:space="0"/>
              <w:bottom w:val="single" w:color="000000" w:sz="8" w:space="0"/>
              <w:right w:val="single" w:color="000000" w:sz="8" w:space="0"/>
            </w:tcBorders>
            <w:shd w:val="clear" w:color="auto" w:fill="FFFFFF"/>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起动许可控制模块供电保险损坏</w:t>
            </w:r>
          </w:p>
        </w:tc>
        <w:tc>
          <w:tcPr>
            <w:tcW w:w="10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故障机理分析</w:t>
            </w:r>
          </w:p>
        </w:tc>
        <w:tc>
          <w:tcPr>
            <w:tcW w:w="6993" w:type="dxa"/>
            <w:tcBorders>
              <w:top w:val="single" w:color="000000" w:sz="8" w:space="0"/>
              <w:left w:val="single" w:color="000000" w:sz="8" w:space="0"/>
              <w:bottom w:val="single" w:color="000000" w:sz="8" w:space="0"/>
              <w:right w:val="single" w:color="000000" w:sz="8" w:space="0"/>
            </w:tcBorders>
            <w:shd w:val="clear" w:color="auto" w:fill="FFFFFF"/>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起动许可控制模块供电保险丝损坏，导致控制模块工作异常，无法与其他模块通讯，所以无钥匙功能失效，点火开关无法打开</w:t>
            </w:r>
          </w:p>
        </w:tc>
        <w:tc>
          <w:tcPr>
            <w:tcW w:w="10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p>
        </w:tc>
      </w:tr>
    </w:tbl>
    <w:p>
      <w:pPr>
        <w:spacing w:line="360" w:lineRule="auto"/>
        <w:rPr>
          <w:rFonts w:ascii="Times New Roman" w:hAnsi="Times New Roman" w:eastAsia="仿宋_GB2312"/>
          <w:color w:val="000000" w:themeColor="text1"/>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说明：每个故障点的分值以及分配不是固定的，随实际情况有所调整。</w:t>
      </w:r>
    </w:p>
    <w:p>
      <w:pPr>
        <w:tabs>
          <w:tab w:val="left" w:pos="9360"/>
        </w:tabs>
        <w:adjustRightInd w:val="0"/>
        <w:snapToGrid w:val="0"/>
        <w:spacing w:line="240" w:lineRule="atLeast"/>
        <w:rPr>
          <w:rFonts w:ascii="Times New Roman" w:hAnsi="Times New Roman"/>
          <w:color w:val="000000" w:themeColor="text1"/>
          <w:highlight w:val="none"/>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t>附件8</w:t>
      </w:r>
    </w:p>
    <w:p>
      <w:pPr>
        <w:spacing w:line="560" w:lineRule="exact"/>
        <w:jc w:val="center"/>
        <w:rPr>
          <w:rFonts w:ascii="Times New Roman" w:hAnsi="Times New Roman" w:eastAsia="黑体"/>
          <w:b/>
          <w:color w:val="000000" w:themeColor="text1"/>
          <w:sz w:val="28"/>
          <w:szCs w:val="28"/>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pStyle w:val="5"/>
        <w:jc w:val="center"/>
        <w:rPr>
          <w:rFonts w:ascii="Times New Roman" w:hAnsi="Times New Roman" w:eastAsia="仿宋_GB2312"/>
          <w:b/>
          <w:bCs/>
          <w:color w:val="000000" w:themeColor="text1"/>
          <w:highlight w:val="none"/>
          <w14:textFill>
            <w14:solidFill>
              <w14:schemeClr w14:val="tx1"/>
            </w14:solidFill>
          </w14:textFill>
        </w:rPr>
      </w:pPr>
      <w:r>
        <w:rPr>
          <w:rFonts w:ascii="Times New Roman" w:hAnsi="Times New Roman" w:eastAsia="仿宋_GB2312"/>
          <w:b/>
          <w:bCs/>
          <w:color w:val="000000" w:themeColor="text1"/>
          <w:highlight w:val="none"/>
          <w14:textFill>
            <w14:solidFill>
              <w14:schemeClr w14:val="tx1"/>
            </w14:solidFill>
          </w14:textFill>
        </w:rPr>
        <w:t>《模块A汽车动力及底盘电控系统故障检修》故障设置范围</w:t>
      </w:r>
    </w:p>
    <w:p>
      <w:pPr>
        <w:adjustRightInd w:val="0"/>
        <w:snapToGrid w:val="0"/>
        <w:spacing w:line="360" w:lineRule="auto"/>
        <w:jc w:val="left"/>
        <w:rPr>
          <w:rFonts w:ascii="Times New Roman" w:hAnsi="Times New Roman" w:eastAsia="仿宋_GB2312"/>
          <w:b/>
          <w:bCs/>
          <w:color w:val="000000" w:themeColor="text1"/>
          <w:sz w:val="18"/>
          <w:szCs w:val="18"/>
          <w:highlight w:val="none"/>
          <w14:textFill>
            <w14:solidFill>
              <w14:schemeClr w14:val="tx1"/>
            </w14:solidFill>
          </w14:textFill>
        </w:rPr>
      </w:pPr>
    </w:p>
    <w:tbl>
      <w:tblPr>
        <w:tblStyle w:val="10"/>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7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278" w:type="dxa"/>
            <w:shd w:val="clear" w:color="auto" w:fill="F1F1F1"/>
            <w:vAlign w:val="center"/>
          </w:tcPr>
          <w:p>
            <w:pPr>
              <w:adjustRightInd w:val="0"/>
              <w:snapToGrid w:val="0"/>
              <w:spacing w:line="360" w:lineRule="auto"/>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故障现象</w:t>
            </w:r>
          </w:p>
        </w:tc>
        <w:tc>
          <w:tcPr>
            <w:tcW w:w="7377" w:type="dxa"/>
            <w:shd w:val="clear" w:color="auto" w:fill="F1F1F1"/>
            <w:vAlign w:val="center"/>
          </w:tcPr>
          <w:p>
            <w:pPr>
              <w:adjustRightInd w:val="0"/>
              <w:snapToGrid w:val="0"/>
              <w:spacing w:line="360" w:lineRule="auto"/>
              <w:jc w:val="center"/>
              <w:rPr>
                <w:rFonts w:ascii="Times New Roman" w:hAnsi="Times New Roman" w:eastAsia="仿宋_GB2312"/>
                <w:b/>
                <w:bCs/>
                <w:color w:val="000000" w:themeColor="text1"/>
                <w:sz w:val="18"/>
                <w:szCs w:val="18"/>
                <w:highlight w:val="none"/>
                <w14:textFill>
                  <w14:solidFill>
                    <w14:schemeClr w14:val="tx1"/>
                  </w14:solidFill>
                </w14:textFill>
              </w:rPr>
            </w:pPr>
            <w:r>
              <w:rPr>
                <w:rFonts w:ascii="Times New Roman" w:hAnsi="Times New Roman" w:eastAsia="仿宋_GB2312"/>
                <w:b/>
                <w:bCs/>
                <w:color w:val="000000" w:themeColor="text1"/>
                <w:sz w:val="18"/>
                <w:szCs w:val="18"/>
                <w:highlight w:val="none"/>
                <w14:textFill>
                  <w14:solidFill>
                    <w14:schemeClr w14:val="tx1"/>
                  </w14:solidFill>
                </w14:textFill>
              </w:rPr>
              <w:t>故障设置点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78" w:type="dxa"/>
            <w:vAlign w:val="center"/>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低压上电异常</w:t>
            </w:r>
          </w:p>
        </w:tc>
        <w:tc>
          <w:tcPr>
            <w:tcW w:w="7377" w:type="dxa"/>
            <w:vAlign w:val="center"/>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1.围绕12V电源控制、防盗报警系统、车辆控制系统不能正常工作设置故障，故障主要设置在低压供电不正常方面。</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2.围绕造成仪表黑屏设置故障，故障主要设置在各种电源电路上，具体包括相关控制模块、保险丝、继电器、线路及连接器。</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3.围绕造成全车无电设置故障，故障主要设置在相关控制模块、继电器、相关保险丝、唤醒车辆元件、线路及连接器、关键信号的输入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78" w:type="dxa"/>
            <w:vAlign w:val="center"/>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高压上电异常</w:t>
            </w:r>
          </w:p>
        </w:tc>
        <w:tc>
          <w:tcPr>
            <w:tcW w:w="7377" w:type="dxa"/>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1.围绕高压供电不正常的故障现象设置故障，故障主要设置在控制模块、电源及其搭铁线路，具体包括相关控制模块、保险丝、继电器、线路及插头连接。</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2.围绕相关控制系统设置故障，故障主要设置在控制模块、传感器、执行器上，具体包括相关控制模块、保险丝、继电器、线路及插头连接。</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3.围绕动力电池管理系统不能正常工作设置故障。</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4.围绕电机控制系统不能正常工作设置故障。</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5.围绕电机驱动系统不能正常工作设置故障。</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6.围绕高压配电系统不能正常工作设置故障。</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7.围绕热管理系统（电机/电池）不能正常工作设置故障。</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8.围绕数据通讯系统（电机/电池）不能正常工作设置故障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278" w:type="dxa"/>
            <w:vAlign w:val="center"/>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车辆无法正常行驶</w:t>
            </w:r>
          </w:p>
        </w:tc>
        <w:tc>
          <w:tcPr>
            <w:tcW w:w="7377" w:type="dxa"/>
          </w:tcPr>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1.</w:t>
            </w:r>
            <w:r>
              <w:rPr>
                <w:rFonts w:ascii="Times New Roman" w:hAnsi="Times New Roman" w:eastAsia="仿宋_GB2312"/>
                <w:color w:val="auto"/>
                <w:sz w:val="18"/>
                <w:szCs w:val="18"/>
                <w:highlight w:val="none"/>
                <w:lang w:val="en-US" w:eastAsia="zh-CN"/>
              </w:rPr>
              <w:t>围绕车辆无法正常行驶的故障现象设置故障，故障主要设置在控制</w:t>
            </w:r>
            <w:r>
              <w:rPr>
                <w:rFonts w:hint="eastAsia" w:ascii="Times New Roman" w:hAnsi="Times New Roman" w:eastAsia="仿宋_GB2312"/>
                <w:color w:val="auto"/>
                <w:sz w:val="18"/>
                <w:szCs w:val="18"/>
                <w:highlight w:val="none"/>
                <w:lang w:val="en-US" w:eastAsia="zh-CN"/>
              </w:rPr>
              <w:t xml:space="preserve">模块、电源及其搭铁线路，具体包括相关控制模块、控制开关、执行器、保险丝、继电器、线路及插头连接。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2.</w:t>
            </w:r>
            <w:r>
              <w:rPr>
                <w:rFonts w:hint="eastAsia" w:ascii="Times New Roman" w:hAnsi="Times New Roman" w:eastAsia="仿宋_GB2312"/>
                <w:color w:val="auto"/>
                <w:sz w:val="18"/>
                <w:szCs w:val="18"/>
                <w:highlight w:val="none"/>
                <w:lang w:val="en-US" w:eastAsia="zh-CN"/>
              </w:rPr>
              <w:t xml:space="preserve">围绕相关控制系统设置故障，故障主要设置在控制模块、传感器、执行器上，具体包括相关控制模块、保险丝、继电器、线路及插头连接。 </w:t>
            </w:r>
          </w:p>
          <w:p>
            <w:pPr>
              <w:adjustRightInd w:val="0"/>
              <w:snapToGrid w:val="0"/>
              <w:spacing w:line="360" w:lineRule="auto"/>
              <w:jc w:val="left"/>
              <w:rPr>
                <w:rFonts w:hint="eastAsia" w:ascii="Times New Roman" w:hAnsi="Times New Roman" w:eastAsia="仿宋_GB2312"/>
                <w:color w:val="auto"/>
                <w:sz w:val="18"/>
                <w:szCs w:val="18"/>
                <w:highlight w:val="none"/>
                <w:lang w:val="en-US" w:eastAsia="zh-CN"/>
              </w:rPr>
            </w:pPr>
            <w:r>
              <w:rPr>
                <w:rFonts w:hint="eastAsia" w:ascii="Times New Roman" w:hAnsi="Times New Roman" w:eastAsia="仿宋_GB2312"/>
                <w:color w:val="auto"/>
                <w:sz w:val="18"/>
                <w:szCs w:val="18"/>
                <w:highlight w:val="none"/>
                <w:lang w:val="en-US" w:eastAsia="zh-CN"/>
              </w:rPr>
              <w:t>3.围绕电机驱动系统不能正常工作设置故障。</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4.</w:t>
            </w:r>
            <w:r>
              <w:rPr>
                <w:rFonts w:ascii="Times New Roman" w:hAnsi="Times New Roman" w:eastAsia="仿宋_GB2312"/>
                <w:color w:val="auto"/>
                <w:sz w:val="18"/>
                <w:szCs w:val="18"/>
                <w:highlight w:val="none"/>
                <w:lang w:val="en-US" w:eastAsia="zh-CN"/>
              </w:rPr>
              <w:t>围绕减速器控制系统不能正常工作设置故障。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jc w:val="center"/>
        </w:trPr>
        <w:tc>
          <w:tcPr>
            <w:tcW w:w="1278" w:type="dxa"/>
            <w:vAlign w:val="center"/>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车辆无法（含交流）充电</w:t>
            </w:r>
          </w:p>
        </w:tc>
        <w:tc>
          <w:tcPr>
            <w:tcW w:w="7377" w:type="dxa"/>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1.围绕车辆无法充电的故障现象设置故障，故障主要设置在控制模块、电源及其搭铁线路，具体包括相关控制模块、保险丝、继电器、线路及插头连接。</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2.围绕相关控制系统设置故障，故障主要设置在控制模块、传感器、执行器上，具体包括相关控制模块、保险丝、继电器、线路及插头连接。</w:t>
            </w:r>
          </w:p>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rPr>
              <w:t>3.围绕交流充电线路、充电枪及其控制线路、直流充电系统等不能正常工作设置故障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1278" w:type="dxa"/>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lang w:val="en-US" w:eastAsia="zh-CN"/>
              </w:rPr>
              <w:t>防抱死制</w:t>
            </w:r>
            <w:r>
              <w:rPr>
                <w:rFonts w:hint="eastAsia" w:ascii="Times New Roman" w:hAnsi="Times New Roman" w:eastAsia="仿宋_GB2312"/>
                <w:color w:val="auto"/>
                <w:sz w:val="18"/>
                <w:szCs w:val="18"/>
                <w:highlight w:val="none"/>
                <w:lang w:val="en-US" w:eastAsia="zh-CN"/>
              </w:rPr>
              <w:t>动失效或报警</w:t>
            </w:r>
          </w:p>
        </w:tc>
        <w:tc>
          <w:tcPr>
            <w:tcW w:w="7377" w:type="dxa"/>
          </w:tcPr>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1.</w:t>
            </w:r>
            <w:r>
              <w:rPr>
                <w:rFonts w:ascii="Times New Roman" w:hAnsi="Times New Roman" w:eastAsia="仿宋_GB2312"/>
                <w:color w:val="auto"/>
                <w:sz w:val="18"/>
                <w:szCs w:val="18"/>
                <w:highlight w:val="none"/>
                <w:lang w:val="en-US" w:eastAsia="zh-CN"/>
              </w:rPr>
              <w:t xml:space="preserve">围绕该系统控制模块的电源电路设置故障。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2.</w:t>
            </w:r>
            <w:r>
              <w:rPr>
                <w:rFonts w:hint="eastAsia" w:ascii="Times New Roman" w:hAnsi="Times New Roman" w:eastAsia="仿宋_GB2312"/>
                <w:color w:val="auto"/>
                <w:sz w:val="18"/>
                <w:szCs w:val="18"/>
                <w:highlight w:val="none"/>
                <w:lang w:val="en-US" w:eastAsia="zh-CN"/>
              </w:rPr>
              <w:t xml:space="preserve">围绕该系统的保险丝或继电器设置故障。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3.</w:t>
            </w:r>
            <w:r>
              <w:rPr>
                <w:rFonts w:hint="eastAsia" w:ascii="Times New Roman" w:hAnsi="Times New Roman" w:eastAsia="仿宋_GB2312"/>
                <w:color w:val="auto"/>
                <w:sz w:val="18"/>
                <w:szCs w:val="18"/>
                <w:highlight w:val="none"/>
                <w:lang w:val="en-US" w:eastAsia="zh-CN"/>
              </w:rPr>
              <w:t xml:space="preserve">围绕该系统的信号输入装置设置元件及线路故障。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4.</w:t>
            </w:r>
            <w:r>
              <w:rPr>
                <w:rFonts w:hint="eastAsia" w:ascii="Times New Roman" w:hAnsi="Times New Roman" w:eastAsia="仿宋_GB2312"/>
                <w:color w:val="auto"/>
                <w:sz w:val="18"/>
                <w:szCs w:val="18"/>
                <w:highlight w:val="none"/>
                <w:lang w:val="en-US" w:eastAsia="zh-CN"/>
              </w:rPr>
              <w:t xml:space="preserve">围绕该系统执行器设置元件及线路故障。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5.</w:t>
            </w:r>
            <w:r>
              <w:rPr>
                <w:rFonts w:hint="eastAsia" w:ascii="Times New Roman" w:hAnsi="Times New Roman" w:eastAsia="仿宋_GB2312"/>
                <w:color w:val="auto"/>
                <w:sz w:val="18"/>
                <w:szCs w:val="18"/>
                <w:highlight w:val="none"/>
                <w:lang w:val="en-US" w:eastAsia="zh-CN"/>
              </w:rPr>
              <w:t xml:space="preserve">围绕该系统相关网络系统设置故障。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1278" w:type="dxa"/>
          </w:tcPr>
          <w:p>
            <w:pPr>
              <w:adjustRightInd w:val="0"/>
              <w:snapToGrid w:val="0"/>
              <w:spacing w:line="360" w:lineRule="auto"/>
              <w:jc w:val="left"/>
              <w:rPr>
                <w:rFonts w:ascii="Times New Roman" w:hAnsi="Times New Roman" w:eastAsia="仿宋_GB2312"/>
                <w:color w:val="auto"/>
                <w:sz w:val="18"/>
                <w:szCs w:val="18"/>
                <w:highlight w:val="none"/>
              </w:rPr>
            </w:pPr>
            <w:r>
              <w:rPr>
                <w:rFonts w:ascii="Times New Roman" w:hAnsi="Times New Roman" w:eastAsia="仿宋_GB2312"/>
                <w:color w:val="auto"/>
                <w:sz w:val="18"/>
                <w:szCs w:val="18"/>
                <w:highlight w:val="none"/>
                <w:lang w:val="en-US" w:eastAsia="zh-CN"/>
              </w:rPr>
              <w:t>电动转向</w:t>
            </w:r>
            <w:r>
              <w:rPr>
                <w:rFonts w:hint="eastAsia" w:ascii="Times New Roman" w:hAnsi="Times New Roman" w:eastAsia="仿宋_GB2312"/>
                <w:color w:val="auto"/>
                <w:sz w:val="18"/>
                <w:szCs w:val="18"/>
                <w:highlight w:val="none"/>
                <w:lang w:val="en-US" w:eastAsia="zh-CN"/>
              </w:rPr>
              <w:t>系统失效或报警</w:t>
            </w:r>
          </w:p>
          <w:p>
            <w:pPr>
              <w:adjustRightInd w:val="0"/>
              <w:snapToGrid w:val="0"/>
              <w:spacing w:line="360" w:lineRule="auto"/>
              <w:jc w:val="left"/>
              <w:rPr>
                <w:rFonts w:ascii="Times New Roman" w:hAnsi="Times New Roman" w:eastAsia="仿宋_GB2312"/>
                <w:color w:val="auto"/>
                <w:sz w:val="18"/>
                <w:szCs w:val="18"/>
                <w:highlight w:val="none"/>
              </w:rPr>
            </w:pPr>
          </w:p>
        </w:tc>
        <w:tc>
          <w:tcPr>
            <w:tcW w:w="7377" w:type="dxa"/>
          </w:tcPr>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1.</w:t>
            </w:r>
            <w:r>
              <w:rPr>
                <w:rFonts w:ascii="Times New Roman" w:hAnsi="Times New Roman" w:eastAsia="仿宋_GB2312"/>
                <w:color w:val="auto"/>
                <w:sz w:val="18"/>
                <w:szCs w:val="18"/>
                <w:highlight w:val="none"/>
                <w:lang w:val="en-US" w:eastAsia="zh-CN"/>
              </w:rPr>
              <w:t xml:space="preserve">围绕该系统控制模块的电源电路设置故障。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2.</w:t>
            </w:r>
            <w:r>
              <w:rPr>
                <w:rFonts w:hint="eastAsia" w:ascii="Times New Roman" w:hAnsi="Times New Roman" w:eastAsia="仿宋_GB2312"/>
                <w:color w:val="auto"/>
                <w:sz w:val="18"/>
                <w:szCs w:val="18"/>
                <w:highlight w:val="none"/>
                <w:lang w:val="en-US" w:eastAsia="zh-CN"/>
              </w:rPr>
              <w:t xml:space="preserve">围绕该系统的保险丝或继电器设置故障。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3.</w:t>
            </w:r>
            <w:r>
              <w:rPr>
                <w:rFonts w:hint="eastAsia" w:ascii="Times New Roman" w:hAnsi="Times New Roman" w:eastAsia="仿宋_GB2312"/>
                <w:color w:val="auto"/>
                <w:sz w:val="18"/>
                <w:szCs w:val="18"/>
                <w:highlight w:val="none"/>
                <w:lang w:val="en-US" w:eastAsia="zh-CN"/>
              </w:rPr>
              <w:t xml:space="preserve">围绕该系统的信号输入装置设置元件及线路故障。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4.</w:t>
            </w:r>
            <w:r>
              <w:rPr>
                <w:rFonts w:hint="eastAsia" w:ascii="Times New Roman" w:hAnsi="Times New Roman" w:eastAsia="仿宋_GB2312"/>
                <w:color w:val="auto"/>
                <w:sz w:val="18"/>
                <w:szCs w:val="18"/>
                <w:highlight w:val="none"/>
                <w:lang w:val="en-US" w:eastAsia="zh-CN"/>
              </w:rPr>
              <w:t xml:space="preserve">围绕该系统执行装置设置元件及线路故障。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5.</w:t>
            </w:r>
            <w:r>
              <w:rPr>
                <w:rFonts w:hint="eastAsia" w:ascii="Times New Roman" w:hAnsi="Times New Roman" w:eastAsia="仿宋_GB2312"/>
                <w:color w:val="auto"/>
                <w:sz w:val="18"/>
                <w:szCs w:val="18"/>
                <w:highlight w:val="none"/>
                <w:lang w:val="en-US" w:eastAsia="zh-CN"/>
              </w:rPr>
              <w:t xml:space="preserve">围绕该系统相关网络系统设置故障。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1278" w:type="dxa"/>
          </w:tcPr>
          <w:p>
            <w:pPr>
              <w:adjustRightInd w:val="0"/>
              <w:snapToGrid w:val="0"/>
              <w:spacing w:line="360" w:lineRule="auto"/>
              <w:jc w:val="left"/>
              <w:rPr>
                <w:rFonts w:ascii="Times New Roman" w:hAnsi="Times New Roman" w:eastAsia="仿宋_GB2312"/>
                <w:color w:val="auto"/>
                <w:sz w:val="18"/>
                <w:szCs w:val="18"/>
                <w:highlight w:val="none"/>
              </w:rPr>
            </w:pPr>
            <w:r>
              <w:rPr>
                <w:rFonts w:hint="eastAsia" w:ascii="Times New Roman" w:hAnsi="Times New Roman" w:eastAsia="仿宋_GB2312"/>
                <w:color w:val="auto"/>
                <w:sz w:val="18"/>
                <w:szCs w:val="18"/>
                <w:highlight w:val="none"/>
              </w:rPr>
              <w:t>电子驻车制动系统失效或报警</w:t>
            </w:r>
          </w:p>
        </w:tc>
        <w:tc>
          <w:tcPr>
            <w:tcW w:w="7377" w:type="dxa"/>
          </w:tcPr>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1.</w:t>
            </w:r>
            <w:r>
              <w:rPr>
                <w:rFonts w:ascii="Times New Roman" w:hAnsi="Times New Roman" w:eastAsia="仿宋_GB2312"/>
                <w:color w:val="auto"/>
                <w:sz w:val="18"/>
                <w:szCs w:val="18"/>
                <w:highlight w:val="none"/>
                <w:lang w:val="en-US" w:eastAsia="zh-CN"/>
              </w:rPr>
              <w:t xml:space="preserve">围绕该系统控制模块的电源电路设置故障。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2.</w:t>
            </w:r>
            <w:r>
              <w:rPr>
                <w:rFonts w:hint="eastAsia" w:ascii="Times New Roman" w:hAnsi="Times New Roman" w:eastAsia="仿宋_GB2312"/>
                <w:color w:val="auto"/>
                <w:sz w:val="18"/>
                <w:szCs w:val="18"/>
                <w:highlight w:val="none"/>
                <w:lang w:val="en-US" w:eastAsia="zh-CN"/>
              </w:rPr>
              <w:t xml:space="preserve">围绕该系统的保险丝或继电器设置故障。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3.</w:t>
            </w:r>
            <w:r>
              <w:rPr>
                <w:rFonts w:hint="eastAsia" w:ascii="Times New Roman" w:hAnsi="Times New Roman" w:eastAsia="仿宋_GB2312"/>
                <w:color w:val="auto"/>
                <w:sz w:val="18"/>
                <w:szCs w:val="18"/>
                <w:highlight w:val="none"/>
                <w:lang w:val="en-US" w:eastAsia="zh-CN"/>
              </w:rPr>
              <w:t xml:space="preserve">围绕该系统的信号输入装置设置元件及线路故障。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4.</w:t>
            </w:r>
            <w:r>
              <w:rPr>
                <w:rFonts w:hint="eastAsia" w:ascii="Times New Roman" w:hAnsi="Times New Roman" w:eastAsia="仿宋_GB2312"/>
                <w:color w:val="auto"/>
                <w:sz w:val="18"/>
                <w:szCs w:val="18"/>
                <w:highlight w:val="none"/>
                <w:lang w:val="en-US" w:eastAsia="zh-CN"/>
              </w:rPr>
              <w:t xml:space="preserve">围绕该系统执行装置设置元件及线路故障。 </w:t>
            </w:r>
          </w:p>
          <w:p>
            <w:pPr>
              <w:adjustRightInd w:val="0"/>
              <w:snapToGrid w:val="0"/>
              <w:spacing w:line="360" w:lineRule="auto"/>
              <w:jc w:val="left"/>
              <w:rPr>
                <w:rFonts w:ascii="Times New Roman" w:hAnsi="Times New Roman" w:eastAsia="仿宋_GB2312"/>
                <w:color w:val="auto"/>
                <w:sz w:val="18"/>
                <w:szCs w:val="18"/>
                <w:highlight w:val="none"/>
              </w:rPr>
            </w:pPr>
            <w:r>
              <w:rPr>
                <w:rFonts w:hint="default" w:ascii="Times New Roman" w:hAnsi="Times New Roman" w:eastAsia="仿宋_GB2312"/>
                <w:color w:val="auto"/>
                <w:sz w:val="18"/>
                <w:szCs w:val="18"/>
                <w:highlight w:val="none"/>
                <w:lang w:val="en-US" w:eastAsia="zh-CN"/>
              </w:rPr>
              <w:t>5.</w:t>
            </w:r>
            <w:r>
              <w:rPr>
                <w:rFonts w:hint="eastAsia" w:ascii="Times New Roman" w:hAnsi="Times New Roman" w:eastAsia="仿宋_GB2312"/>
                <w:color w:val="auto"/>
                <w:sz w:val="18"/>
                <w:szCs w:val="18"/>
                <w:highlight w:val="none"/>
                <w:lang w:val="en-US" w:eastAsia="zh-CN"/>
              </w:rPr>
              <w:t>围绕该系统相关网络系统设置故障。</w:t>
            </w:r>
          </w:p>
        </w:tc>
      </w:tr>
    </w:tbl>
    <w:p>
      <w:pPr>
        <w:spacing w:line="560" w:lineRule="exact"/>
        <w:ind w:firstLine="482"/>
        <w:contextualSpacing/>
        <w:jc w:val="center"/>
        <w:rPr>
          <w:rFonts w:ascii="Times New Roman" w:hAnsi="Times New Roman"/>
          <w:b/>
          <w:color w:val="000000" w:themeColor="text1"/>
          <w:highlight w:val="none"/>
          <w14:textFill>
            <w14:solidFill>
              <w14:schemeClr w14:val="tx1"/>
            </w14:solidFill>
          </w14:textFill>
        </w:rPr>
      </w:pPr>
    </w:p>
    <w:p>
      <w:pPr>
        <w:keepNext w:val="0"/>
        <w:keepLines w:val="0"/>
        <w:widowControl/>
        <w:suppressLineNumbers w:val="0"/>
        <w:jc w:val="left"/>
        <w:rPr>
          <w:highlight w:val="none"/>
        </w:rPr>
      </w:pPr>
      <w:r>
        <w:rPr>
          <w:rFonts w:ascii="仿宋_GB2312" w:hAnsi="宋体" w:eastAsia="仿宋_GB2312" w:cs="仿宋_GB2312"/>
          <w:color w:val="000000"/>
          <w:kern w:val="0"/>
          <w:sz w:val="24"/>
          <w:szCs w:val="24"/>
          <w:highlight w:val="none"/>
          <w:lang w:val="en-US" w:eastAsia="zh-CN" w:bidi="ar"/>
        </w:rPr>
        <w:t xml:space="preserve">说明：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1.</w:t>
      </w:r>
      <w:r>
        <w:rPr>
          <w:rFonts w:ascii="仿宋_GB2312" w:hAnsi="宋体" w:eastAsia="仿宋_GB2312" w:cs="仿宋_GB2312"/>
          <w:color w:val="000000"/>
          <w:kern w:val="0"/>
          <w:sz w:val="24"/>
          <w:szCs w:val="24"/>
          <w:highlight w:val="none"/>
          <w:lang w:val="en-US" w:eastAsia="zh-CN" w:bidi="ar"/>
        </w:rPr>
        <w:t xml:space="preserve">故障包含有故障码故障和无故障码故障，故障形式可为单系统故障或多系统故障。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2.</w:t>
      </w:r>
      <w:r>
        <w:rPr>
          <w:rFonts w:hint="eastAsia" w:ascii="仿宋_GB2312" w:hAnsi="宋体" w:eastAsia="仿宋_GB2312" w:cs="仿宋_GB2312"/>
          <w:color w:val="000000"/>
          <w:kern w:val="0"/>
          <w:sz w:val="24"/>
          <w:szCs w:val="24"/>
          <w:highlight w:val="none"/>
          <w:lang w:val="en-US" w:eastAsia="zh-CN" w:bidi="ar"/>
        </w:rPr>
        <w:t xml:space="preserve">故障类型可能包括：线路断路、线路电阻过大（即串电阻）、插头端子缺失或损坏、 </w:t>
      </w:r>
    </w:p>
    <w:p>
      <w:pPr>
        <w:keepNext w:val="0"/>
        <w:keepLines w:val="0"/>
        <w:widowControl/>
        <w:suppressLineNumbers w:val="0"/>
        <w:jc w:val="left"/>
        <w:rPr>
          <w:highlight w:val="none"/>
        </w:rPr>
      </w:pPr>
      <w:r>
        <w:rPr>
          <w:rFonts w:hint="eastAsia" w:ascii="仿宋_GB2312" w:hAnsi="宋体" w:eastAsia="仿宋_GB2312" w:cs="仿宋_GB2312"/>
          <w:color w:val="000000"/>
          <w:kern w:val="0"/>
          <w:sz w:val="24"/>
          <w:szCs w:val="24"/>
          <w:highlight w:val="none"/>
          <w:lang w:val="en-US" w:eastAsia="zh-CN" w:bidi="ar"/>
        </w:rPr>
        <w:t>线路对正极短接、线路对地短接、单个元件插头上线路窜线、元件故障（对开关、保险丝、继电器、传感器等元件故障应进行测量验证，不可采用换件方式证明故障）、插头松动或脱落、元件装配故障、元件型号错误。</w:t>
      </w: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b/>
          <w:bCs/>
          <w:color w:val="000000" w:themeColor="text1"/>
          <w:highlight w:val="none"/>
          <w14:textFill>
            <w14:solidFill>
              <w14:schemeClr w14:val="tx1"/>
            </w14:solidFill>
          </w14:textFill>
        </w:rPr>
      </w:pPr>
    </w:p>
    <w:p>
      <w:pPr>
        <w:rPr>
          <w:rFonts w:ascii="Times New Roman" w:hAnsi="Times New Roman"/>
          <w:b/>
          <w:bCs/>
          <w:color w:val="000000" w:themeColor="text1"/>
          <w:sz w:val="28"/>
          <w:szCs w:val="28"/>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pStyle w:val="5"/>
        <w:rPr>
          <w:rFonts w:ascii="Times New Roman" w:hAnsi="Times New Roman"/>
          <w:color w:val="000000" w:themeColor="text1"/>
          <w:highlight w:val="none"/>
          <w14:textFill>
            <w14:solidFill>
              <w14:schemeClr w14:val="tx1"/>
            </w14:solidFill>
          </w14:textFill>
        </w:rPr>
      </w:pPr>
    </w:p>
    <w:p>
      <w:pPr>
        <w:rPr>
          <w:rFonts w:ascii="Times New Roman" w:hAnsi="Times New Roman"/>
          <w:color w:val="000000" w:themeColor="text1"/>
          <w:highlight w:val="none"/>
          <w14:textFill>
            <w14:solidFill>
              <w14:schemeClr w14:val="tx1"/>
            </w14:solidFill>
          </w14:textFill>
        </w:rPr>
      </w:pPr>
    </w:p>
    <w:p>
      <w:pPr>
        <w:tabs>
          <w:tab w:val="left" w:pos="9360"/>
        </w:tabs>
        <w:adjustRightInd w:val="0"/>
        <w:snapToGrid w:val="0"/>
        <w:spacing w:line="240" w:lineRule="atLeast"/>
        <w:rPr>
          <w:rFonts w:ascii="Times New Roman" w:hAnsi="Times New Roman"/>
          <w:color w:val="000000" w:themeColor="text1"/>
          <w:highlight w:val="none"/>
          <w14:textFill>
            <w14:solidFill>
              <w14:schemeClr w14:val="tx1"/>
            </w14:solidFill>
          </w14:textFill>
        </w:rPr>
      </w:pPr>
      <w:r>
        <w:rPr>
          <w:rFonts w:ascii="Times New Roman" w:hAnsi="Times New Roman"/>
          <w:b/>
          <w:bCs/>
          <w:color w:val="000000" w:themeColor="text1"/>
          <w:sz w:val="28"/>
          <w:szCs w:val="28"/>
          <w:highlight w:val="none"/>
          <w14:textFill>
            <w14:solidFill>
              <w14:schemeClr w14:val="tx1"/>
            </w14:solidFill>
          </w14:textFill>
        </w:rPr>
        <w:t>附件9</w:t>
      </w:r>
    </w:p>
    <w:p>
      <w:pPr>
        <w:spacing w:line="560" w:lineRule="exact"/>
        <w:jc w:val="center"/>
        <w:rPr>
          <w:rFonts w:ascii="Times New Roman" w:hAnsi="Times New Roman" w:eastAsia="黑体"/>
          <w:b/>
          <w:color w:val="000000" w:themeColor="text1"/>
          <w:sz w:val="28"/>
          <w:szCs w:val="28"/>
          <w:highlight w:val="none"/>
          <w14:textFill>
            <w14:solidFill>
              <w14:schemeClr w14:val="tx1"/>
            </w14:solidFill>
          </w14:textFill>
        </w:rPr>
      </w:pPr>
      <w:r>
        <w:rPr>
          <w:rFonts w:ascii="Times New Roman" w:hAnsi="Times New Roman" w:eastAsia="黑体"/>
          <w:b/>
          <w:bCs/>
          <w:color w:val="000000" w:themeColor="text1"/>
          <w:sz w:val="32"/>
          <w:szCs w:val="32"/>
          <w:highlight w:val="none"/>
          <w14:textFill>
            <w14:solidFill>
              <w14:schemeClr w14:val="tx1"/>
            </w14:solidFill>
          </w14:textFill>
        </w:rPr>
        <w:t>2023年</w:t>
      </w:r>
      <w:r>
        <w:rPr>
          <w:rFonts w:hint="eastAsia" w:ascii="Times New Roman" w:hAnsi="Times New Roman" w:eastAsia="黑体"/>
          <w:b/>
          <w:bCs/>
          <w:color w:val="000000" w:themeColor="text1"/>
          <w:sz w:val="32"/>
          <w:szCs w:val="32"/>
          <w:highlight w:val="none"/>
          <w:lang w:eastAsia="zh-CN"/>
          <w14:textFill>
            <w14:solidFill>
              <w14:schemeClr w14:val="tx1"/>
            </w14:solidFill>
          </w14:textFill>
        </w:rPr>
        <w:t>山东省</w:t>
      </w:r>
      <w:r>
        <w:rPr>
          <w:rFonts w:ascii="Times New Roman" w:hAnsi="Times New Roman" w:eastAsia="黑体"/>
          <w:b/>
          <w:bCs/>
          <w:color w:val="000000" w:themeColor="text1"/>
          <w:sz w:val="32"/>
          <w:szCs w:val="32"/>
          <w:highlight w:val="none"/>
          <w14:textFill>
            <w14:solidFill>
              <w14:schemeClr w14:val="tx1"/>
            </w14:solidFill>
          </w14:textFill>
        </w:rPr>
        <w:t>职业院校技能大赛高职组-汽车故障检修项目</w:t>
      </w:r>
    </w:p>
    <w:p>
      <w:pPr>
        <w:pStyle w:val="5"/>
        <w:jc w:val="center"/>
        <w:rPr>
          <w:rFonts w:ascii="Times New Roman" w:hAnsi="Times New Roman" w:eastAsia="仿宋_GB2312"/>
          <w:b/>
          <w:bCs/>
          <w:color w:val="000000" w:themeColor="text1"/>
          <w:highlight w:val="none"/>
          <w14:textFill>
            <w14:solidFill>
              <w14:schemeClr w14:val="tx1"/>
            </w14:solidFill>
          </w14:textFill>
        </w:rPr>
      </w:pPr>
      <w:r>
        <w:rPr>
          <w:rFonts w:ascii="Times New Roman" w:hAnsi="Times New Roman" w:eastAsia="仿宋_GB2312"/>
          <w:b/>
          <w:bCs/>
          <w:color w:val="000000" w:themeColor="text1"/>
          <w:highlight w:val="none"/>
          <w14:textFill>
            <w14:solidFill>
              <w14:schemeClr w14:val="tx1"/>
            </w14:solidFill>
          </w14:textFill>
        </w:rPr>
        <w:t>《模块B发动机及车身电控系统故障检修》故障设置范围</w:t>
      </w:r>
    </w:p>
    <w:p>
      <w:pPr>
        <w:rPr>
          <w:rFonts w:ascii="Times New Roman" w:hAnsi="Times New Roman"/>
          <w:color w:val="000000" w:themeColor="text1"/>
          <w:highlight w:val="none"/>
          <w14:textFill>
            <w14:solidFill>
              <w14:schemeClr w14:val="tx1"/>
            </w14:solidFill>
          </w14:textFill>
        </w:rPr>
      </w:pPr>
    </w:p>
    <w:tbl>
      <w:tblPr>
        <w:tblStyle w:val="10"/>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7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278" w:type="dxa"/>
            <w:shd w:val="clear" w:color="auto" w:fill="F1F1F1"/>
            <w:vAlign w:val="center"/>
          </w:tcPr>
          <w:p>
            <w:pPr>
              <w:jc w:val="center"/>
              <w:rPr>
                <w:rFonts w:ascii="Times New Roman" w:hAnsi="Times New Roman" w:eastAsia="仿宋_GB2312"/>
                <w:b/>
                <w:bCs/>
                <w:color w:val="000000" w:themeColor="text1"/>
                <w:szCs w:val="21"/>
                <w:highlight w:val="none"/>
                <w14:textFill>
                  <w14:solidFill>
                    <w14:schemeClr w14:val="tx1"/>
                  </w14:solidFill>
                </w14:textFill>
              </w:rPr>
            </w:pPr>
            <w:r>
              <w:rPr>
                <w:rFonts w:ascii="Times New Roman" w:hAnsi="Times New Roman" w:eastAsia="仿宋_GB2312"/>
                <w:b/>
                <w:bCs/>
                <w:color w:val="000000" w:themeColor="text1"/>
                <w:szCs w:val="21"/>
                <w:highlight w:val="none"/>
                <w14:textFill>
                  <w14:solidFill>
                    <w14:schemeClr w14:val="tx1"/>
                  </w14:solidFill>
                </w14:textFill>
              </w:rPr>
              <w:t>故障现象</w:t>
            </w:r>
          </w:p>
        </w:tc>
        <w:tc>
          <w:tcPr>
            <w:tcW w:w="7377" w:type="dxa"/>
            <w:shd w:val="clear" w:color="auto" w:fill="F1F1F1"/>
            <w:vAlign w:val="center"/>
          </w:tcPr>
          <w:p>
            <w:pPr>
              <w:jc w:val="center"/>
              <w:rPr>
                <w:rFonts w:ascii="Times New Roman" w:hAnsi="Times New Roman" w:eastAsia="仿宋_GB2312"/>
                <w:b/>
                <w:bCs/>
                <w:color w:val="000000" w:themeColor="text1"/>
                <w:szCs w:val="21"/>
                <w:highlight w:val="none"/>
                <w14:textFill>
                  <w14:solidFill>
                    <w14:schemeClr w14:val="tx1"/>
                  </w14:solidFill>
                </w14:textFill>
              </w:rPr>
            </w:pPr>
            <w:r>
              <w:rPr>
                <w:rFonts w:ascii="Times New Roman" w:hAnsi="Times New Roman" w:eastAsia="仿宋_GB2312"/>
                <w:b/>
                <w:bCs/>
                <w:color w:val="000000" w:themeColor="text1"/>
                <w:szCs w:val="21"/>
                <w:highlight w:val="none"/>
                <w14:textFill>
                  <w14:solidFill>
                    <w14:schemeClr w14:val="tx1"/>
                  </w14:solidFill>
                </w14:textFill>
              </w:rPr>
              <w:t>故障设置点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发动机无法起动</w:t>
            </w:r>
          </w:p>
        </w:tc>
        <w:tc>
          <w:tcPr>
            <w:tcW w:w="7377"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1.围绕端子控制、防盗系统不能正常工作设置故障，故障主要设置在模块、通讯、电源等方面。</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2.围绕造成发动机控制模块不能进入工作状态设置故障，故障主要设置在各种电源电路上，具体包括相关控制模块、保险丝、继电器、线路及连接器。</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3.围绕造成发动机不能起动设置故障，故障主要设置在相关控制模块、继电器、相关保险丝、起动机、线路及连接器、关键信号的输入。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4.围绕相关控制系统设置故障，故障主要设置在传感器、执行器上，具体包括相关控制模块、保险丝、继电器、线路及插头连接。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5.围绕燃油供给系统不能正常工作设置故障，具体包括燃油泵、控制模块、保险丝、继电器、线路及插头连接。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6.围绕点火系统不能正常工作设置故障，具体包括点火系统电源、控制模块、保险丝、继电器、线路及插头连接。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7.围绕进排气及真空控制系统不能正常工作设置故障，具体包括节气门驱动电机、控制模块、相关传感器、执行器、保险丝、继电器、线路及插头连接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发动机工作不良</w:t>
            </w:r>
          </w:p>
        </w:tc>
        <w:tc>
          <w:tcPr>
            <w:tcW w:w="7377" w:type="dxa"/>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1.围绕燃油供给系统不能正常工作设置故障，具体包括喷油器、传感器、控制模块、保险丝、继电器、线路及插头连接。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2.围绕点火系统不能正常工作设置故障，具体包括点火线圈及点火器电源、控制模块、火花塞、保险丝、继电器、线路及插头连接。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3.围绕进排气及真空控制系统不能正常工作设置故障，具体包括加速踏板位置传感器、可变配气相位控制、节气门位置传感器，节气门驱动电机、控制模块、保险丝、继电器、线路及插头连接。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4.围绕电控系统不能正常工作设置故障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电源管理系统</w:t>
            </w:r>
          </w:p>
        </w:tc>
        <w:tc>
          <w:tcPr>
            <w:tcW w:w="7377"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围绕造成车身电气系统无法正常工作设置故障，故障主要设置在相关电源、控制模块、继电器、保险丝、线路及连接器、关键信号的输入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进入及起动许可系统</w:t>
            </w:r>
          </w:p>
        </w:tc>
        <w:tc>
          <w:tcPr>
            <w:tcW w:w="7377" w:type="dxa"/>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1.围绕进入及起动许可系统的供电、搭铁、通讯、控制模块及其相关电路，具体包括相关控制模块、保险丝、继电器、线路及插头连接。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2.围绕无钥匙进入及端子控制系统、电源供给、信号传递、元器件自身及其电路设置故障，故障主要设置在钥匙（信号收发）、传感器、执行器、控制模块、保险丝、继电器、线路及插头连接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lang w:val="en-US" w:eastAsia="zh-CN"/>
                <w14:textFill>
                  <w14:solidFill>
                    <w14:schemeClr w14:val="tx1"/>
                  </w14:solidFill>
                </w14:textFill>
              </w:rPr>
              <w:t>舒适系统</w:t>
            </w:r>
          </w:p>
        </w:tc>
        <w:tc>
          <w:tcPr>
            <w:tcW w:w="7377" w:type="dxa"/>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lang w:val="en-US" w:eastAsia="zh-CN"/>
                <w14:textFill>
                  <w14:solidFill>
                    <w14:schemeClr w14:val="tx1"/>
                  </w14:solidFill>
                </w14:textFill>
              </w:rPr>
              <w:t>围绕自动空调控制系统的供电、搭铁、通讯、控制模块及其相关电</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路，具体包括相关控制模块、保险丝、继电器、线路及插头连接。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车身附件电路</w:t>
            </w:r>
          </w:p>
        </w:tc>
        <w:tc>
          <w:tcPr>
            <w:tcW w:w="7377" w:type="dxa"/>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1.围绕玻璃升降器控制系统不能正常工作设置故障，具体包括各个升降器开关、升降器电动机、控制模块、保险丝、继电器、线路及插头连接。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2.围绕中控门锁控制系统不能正常工作设置故障，具体包括门锁功能开关、联锁开关、车门触摸传感器、车门天线、门锁电机、控制模块、保险丝、继电器、线路及插头连接。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3.围绕后视镜控制系统不能正常工作设置故障，具体包括左右后视镜转换开关、调节开关、调节电机、控制模块、保险丝、继电器、线路及插头连接。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4.围绕雨刮控制系统不能正常工作设置故障，具体包括雨刮调节开关、调节电机、控制模块、保险丝、继电器、线路及插头连接。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5.围绕喇叭控制系统不能正常工作设置故障，具体包括喇叭开关、高音喇叭、低音喇叭、控制模块、保险丝、继电器、线路及插头连接。</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6.围绕多功能方向盘不能正常工作设置故障，具体包括定速巡航设置失效、仪表调节、声音调节等。</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7.围绕行李厢控制系统不能正常工作设置故障，具体包括行李厢控制开关（钥匙控制、开关控制）、电机、控制模块、保险丝、继电器、线路及插头连接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278" w:type="dxa"/>
            <w:vAlign w:val="center"/>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lang w:val="en-US" w:eastAsia="zh-CN"/>
                <w14:textFill>
                  <w14:solidFill>
                    <w14:schemeClr w14:val="tx1"/>
                  </w14:solidFill>
                </w14:textFill>
              </w:rPr>
              <w:t>灯光控制</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系统和仪表与警告装置 </w:t>
            </w:r>
          </w:p>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p>
        </w:tc>
        <w:tc>
          <w:tcPr>
            <w:tcW w:w="7377" w:type="dxa"/>
          </w:tcPr>
          <w:p>
            <w:pPr>
              <w:adjustRightInd w:val="0"/>
              <w:snapToGrid w:val="0"/>
              <w:spacing w:line="360" w:lineRule="auto"/>
              <w:jc w:val="left"/>
              <w:rPr>
                <w:rFonts w:ascii="Times New Roman" w:hAnsi="Times New Roman" w:eastAsia="仿宋_GB2312"/>
                <w:color w:val="000000" w:themeColor="text1"/>
                <w:sz w:val="18"/>
                <w:szCs w:val="18"/>
                <w:highlight w:val="none"/>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1．围绕灯光和信号系统不能正常工作设置各个故障点，包括远光灯、近光灯、示宽灯、制动灯、转向信号灯、尾灯、危险信号警告灯、雾灯、牌照灯、倒车灯控制系统及其电路、信号输入（开关及其线路）、控制单元输出（灯泡、模块等执行器及其线路）、相关控制单元及其电源电路故障对系统的影响。</w:t>
            </w:r>
          </w:p>
          <w:p>
            <w:pPr>
              <w:adjustRightInd w:val="0"/>
              <w:snapToGrid w:val="0"/>
              <w:spacing w:line="360" w:lineRule="auto"/>
              <w:jc w:val="left"/>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pPr>
            <w:r>
              <w:rPr>
                <w:rFonts w:ascii="Times New Roman" w:hAnsi="Times New Roman" w:eastAsia="仿宋_GB2312"/>
                <w:color w:val="000000" w:themeColor="text1"/>
                <w:sz w:val="18"/>
                <w:szCs w:val="18"/>
                <w:highlight w:val="none"/>
                <w14:textFill>
                  <w14:solidFill>
                    <w14:schemeClr w14:val="tx1"/>
                  </w14:solidFill>
                </w14:textFill>
              </w:rPr>
              <w:t>2.围绕驾驶室内部开关，面板灯照明系统，氛围灯照明的系统设置故障点，包括内部照明信号传递路径及经过的常规线路信号传递、总线传递信号、控制单元控制逻辑</w:t>
            </w: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等。</w:t>
            </w:r>
          </w:p>
          <w:p>
            <w:pPr>
              <w:adjustRightInd w:val="0"/>
              <w:snapToGrid w:val="0"/>
              <w:spacing w:line="360" w:lineRule="auto"/>
              <w:jc w:val="left"/>
              <w:rPr>
                <w:rFonts w:hint="default" w:ascii="Times New Roman" w:hAnsi="Times New Roman" w:eastAsia="仿宋_GB2312"/>
                <w:color w:val="000000" w:themeColor="text1"/>
                <w:sz w:val="18"/>
                <w:szCs w:val="18"/>
                <w:highlight w:val="none"/>
                <w:lang w:val="en-US" w:eastAsia="zh-CN"/>
                <w14:textFill>
                  <w14:solidFill>
                    <w14:schemeClr w14:val="tx1"/>
                  </w14:solidFill>
                </w14:textFill>
              </w:rPr>
            </w:pPr>
            <w:r>
              <w:rPr>
                <w:rFonts w:hint="eastAsia" w:ascii="Times New Roman" w:hAnsi="Times New Roman" w:eastAsia="仿宋_GB2312"/>
                <w:color w:val="000000" w:themeColor="text1"/>
                <w:sz w:val="18"/>
                <w:szCs w:val="18"/>
                <w:highlight w:val="none"/>
                <w:lang w:val="en-US" w:eastAsia="zh-CN"/>
                <w14:textFill>
                  <w14:solidFill>
                    <w14:schemeClr w14:val="tx1"/>
                  </w14:solidFill>
                </w14:textFill>
              </w:rPr>
              <w:t xml:space="preserve">3.围绕仪表与警告装置故障点，包括信号传递路径及经过的常规线路信号传递、总线传递信号、控制单元控制逻辑等。 </w:t>
            </w:r>
          </w:p>
        </w:tc>
      </w:tr>
    </w:tbl>
    <w:p>
      <w:pPr>
        <w:pStyle w:val="5"/>
        <w:rPr>
          <w:rFonts w:ascii="Times New Roman" w:hAnsi="Times New Roman"/>
          <w:color w:val="000000" w:themeColor="text1"/>
          <w:highlight w:val="none"/>
          <w14:textFill>
            <w14:solidFill>
              <w14:schemeClr w14:val="tx1"/>
            </w14:solidFill>
          </w14:textFill>
        </w:rPr>
      </w:pPr>
    </w:p>
    <w:p>
      <w:pPr>
        <w:keepNext w:val="0"/>
        <w:keepLines w:val="0"/>
        <w:widowControl/>
        <w:suppressLineNumbers w:val="0"/>
        <w:jc w:val="left"/>
        <w:rPr>
          <w:highlight w:val="none"/>
        </w:rPr>
      </w:pPr>
      <w:r>
        <w:rPr>
          <w:rFonts w:ascii="仿宋_GB2312" w:hAnsi="宋体" w:eastAsia="仿宋_GB2312" w:cs="仿宋_GB2312"/>
          <w:color w:val="000000"/>
          <w:kern w:val="0"/>
          <w:sz w:val="24"/>
          <w:szCs w:val="24"/>
          <w:highlight w:val="none"/>
          <w:lang w:val="en-US" w:eastAsia="zh-CN" w:bidi="ar"/>
        </w:rPr>
        <w:t xml:space="preserve">说明：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1.</w:t>
      </w:r>
      <w:r>
        <w:rPr>
          <w:rFonts w:hint="eastAsia" w:ascii="仿宋_GB2312" w:hAnsi="宋体" w:eastAsia="仿宋_GB2312" w:cs="仿宋_GB2312"/>
          <w:color w:val="000000"/>
          <w:kern w:val="0"/>
          <w:sz w:val="24"/>
          <w:szCs w:val="24"/>
          <w:highlight w:val="none"/>
          <w:lang w:val="en-US" w:eastAsia="zh-CN" w:bidi="ar"/>
        </w:rPr>
        <w:t xml:space="preserve">故障包含有故障码故障和无故障码故障，故障形式可为单系统故障或多系统故障。 </w:t>
      </w:r>
    </w:p>
    <w:p>
      <w:pPr>
        <w:keepNext w:val="0"/>
        <w:keepLines w:val="0"/>
        <w:widowControl/>
        <w:suppressLineNumbers w:val="0"/>
        <w:jc w:val="left"/>
        <w:rPr>
          <w:highlight w:val="none"/>
        </w:rPr>
      </w:pPr>
      <w:r>
        <w:rPr>
          <w:rFonts w:hint="default" w:ascii="Times New Roman" w:hAnsi="Times New Roman" w:eastAsia="宋体" w:cs="Times New Roman"/>
          <w:color w:val="000000"/>
          <w:kern w:val="0"/>
          <w:sz w:val="24"/>
          <w:szCs w:val="24"/>
          <w:highlight w:val="none"/>
          <w:lang w:val="en-US" w:eastAsia="zh-CN" w:bidi="ar"/>
        </w:rPr>
        <w:t>2.</w:t>
      </w:r>
      <w:r>
        <w:rPr>
          <w:rFonts w:hint="eastAsia" w:ascii="仿宋_GB2312" w:hAnsi="宋体" w:eastAsia="仿宋_GB2312" w:cs="仿宋_GB2312"/>
          <w:color w:val="000000"/>
          <w:kern w:val="0"/>
          <w:sz w:val="24"/>
          <w:szCs w:val="24"/>
          <w:highlight w:val="none"/>
          <w:lang w:val="en-US" w:eastAsia="zh-CN" w:bidi="ar"/>
        </w:rPr>
        <w:t xml:space="preserve">故障类型可能包括：线路断路、线路电阻过大（即串电阻）、插头端子缺失或损坏、 </w:t>
      </w:r>
    </w:p>
    <w:p>
      <w:pPr>
        <w:keepNext w:val="0"/>
        <w:keepLines w:val="0"/>
        <w:widowControl/>
        <w:suppressLineNumbers w:val="0"/>
        <w:jc w:val="left"/>
        <w:rPr>
          <w:highlight w:val="none"/>
        </w:rPr>
      </w:pPr>
      <w:r>
        <w:rPr>
          <w:rFonts w:hint="eastAsia" w:ascii="仿宋_GB2312" w:hAnsi="宋体" w:eastAsia="仿宋_GB2312" w:cs="仿宋_GB2312"/>
          <w:color w:val="000000"/>
          <w:kern w:val="0"/>
          <w:sz w:val="24"/>
          <w:szCs w:val="24"/>
          <w:highlight w:val="none"/>
          <w:lang w:val="en-US" w:eastAsia="zh-CN" w:bidi="ar"/>
        </w:rPr>
        <w:t>线路对正极短接、线路对地短接、单个元件插头上线路窜线、元件故障（对开关、保险丝、继电器、传感器等元件故障应进行测量验证，不可采用换件方式证明故障）、插头松动或脱落、元件装配故障、元件型号错误。</w:t>
      </w:r>
    </w:p>
    <w:sectPr>
      <w:headerReference r:id="rId7" w:type="default"/>
      <w:footerReference r:id="rId8" w:type="default"/>
      <w:pgSz w:w="11906" w:h="16838"/>
      <w:pgMar w:top="1383" w:right="1463" w:bottom="1383" w:left="146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8"/>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CF88F4B-5DDC-4F8C-AEBB-922D440086AD}"/>
  </w:font>
  <w:font w:name="Arial">
    <w:panose1 w:val="020B0604020202020204"/>
    <w:charset w:val="01"/>
    <w:family w:val="swiss"/>
    <w:pitch w:val="default"/>
    <w:sig w:usb0="E0002EFF" w:usb1="C000785B" w:usb2="00000009" w:usb3="00000000" w:csb0="400001FF" w:csb1="FFFF0000"/>
    <w:embedRegular r:id="rId2" w:fontKey="{9D028A44-FB41-4605-BEFA-7AC14BFA5ADB}"/>
  </w:font>
  <w:font w:name="黑体">
    <w:panose1 w:val="02010609060101010101"/>
    <w:charset w:val="86"/>
    <w:family w:val="auto"/>
    <w:pitch w:val="default"/>
    <w:sig w:usb0="800002BF" w:usb1="38CF7CFA" w:usb2="00000016" w:usb3="00000000" w:csb0="00040001" w:csb1="00000000"/>
    <w:embedRegular r:id="rId3" w:fontKey="{146422EB-E827-4A84-BE14-242F4A905F82}"/>
  </w:font>
  <w:font w:name="Courier New">
    <w:panose1 w:val="02070309020205020404"/>
    <w:charset w:val="01"/>
    <w:family w:val="modern"/>
    <w:pitch w:val="default"/>
    <w:sig w:usb0="E0002EFF" w:usb1="C0007843" w:usb2="00000009" w:usb3="00000000" w:csb0="400001FF" w:csb1="FFFF0000"/>
    <w:embedRegular r:id="rId4" w:fontKey="{E23FE6F4-B280-4A3A-BA90-5DBA73165F39}"/>
  </w:font>
  <w:font w:name="Symbol">
    <w:panose1 w:val="05050102010706020507"/>
    <w:charset w:val="02"/>
    <w:family w:val="roman"/>
    <w:pitch w:val="default"/>
    <w:sig w:usb0="00000000" w:usb1="00000000" w:usb2="00000000" w:usb3="00000000" w:csb0="80000000" w:csb1="00000000"/>
    <w:embedRegular r:id="rId5" w:fontKey="{BA1C6FF9-8D8A-487F-A833-57CF529DFE44}"/>
  </w:font>
  <w:font w:name="Calibri">
    <w:panose1 w:val="020F0502020204030204"/>
    <w:charset w:val="00"/>
    <w:family w:val="swiss"/>
    <w:pitch w:val="default"/>
    <w:sig w:usb0="E4002EFF" w:usb1="C200247B" w:usb2="00000009" w:usb3="00000000" w:csb0="200001FF" w:csb1="00000000"/>
    <w:embedRegular r:id="rId6" w:fontKey="{4E232BA0-41F4-4427-BDD2-2724827A2FA8}"/>
  </w:font>
  <w:font w:name="方正小标宋简体">
    <w:panose1 w:val="03000509000000000000"/>
    <w:charset w:val="86"/>
    <w:family w:val="script"/>
    <w:pitch w:val="default"/>
    <w:sig w:usb0="00000001" w:usb1="080E0000" w:usb2="00000000" w:usb3="00000000" w:csb0="00040000" w:csb1="00000000"/>
    <w:embedRegular r:id="rId7" w:fontKey="{45CDFB5B-9ED5-4236-9690-ACD3D8D71E14}"/>
  </w:font>
  <w:font w:name="仿宋_GB2312">
    <w:panose1 w:val="02010609030101010101"/>
    <w:charset w:val="86"/>
    <w:family w:val="modern"/>
    <w:pitch w:val="default"/>
    <w:sig w:usb0="00000001" w:usb1="080E0000" w:usb2="00000000" w:usb3="00000000" w:csb0="00040000" w:csb1="00000000"/>
    <w:embedRegular r:id="rId8" w:fontKey="{0003DD86-E00C-4D9A-9A76-A434EEAFBE8C}"/>
  </w:font>
  <w:font w:name="仿宋">
    <w:panose1 w:val="02010609060101010101"/>
    <w:charset w:val="86"/>
    <w:family w:val="auto"/>
    <w:pitch w:val="default"/>
    <w:sig w:usb0="800002BF" w:usb1="38CF7CFA" w:usb2="00000016" w:usb3="00000000" w:csb0="00040001" w:csb1="00000000"/>
    <w:embedRegular r:id="rId9" w:fontKey="{07C6A043-7A9D-4AD1-88EA-98A8A4E5CCAF}"/>
  </w:font>
  <w:font w:name="微软雅黑">
    <w:panose1 w:val="020B0503020204020204"/>
    <w:charset w:val="86"/>
    <w:family w:val="swiss"/>
    <w:pitch w:val="default"/>
    <w:sig w:usb0="80000287" w:usb1="2ACF3C50" w:usb2="00000016" w:usb3="00000000" w:csb0="0004001F" w:csb1="00000000"/>
    <w:embedRegular r:id="rId10" w:fontKey="{5326B3D5-8445-47FA-AF46-1E73E82EC7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8"/>
        <w:szCs w:val="44"/>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75594349"/>
                            <w:docPartObj>
                              <w:docPartGallery w:val="autotext"/>
                            </w:docPartObj>
                          </w:sdtPr>
                          <w:sdtEndPr>
                            <w:rPr>
                              <w:rFonts w:ascii="Times New Roman" w:hAnsi="Times New Roman"/>
                              <w:sz w:val="28"/>
                              <w:szCs w:val="44"/>
                            </w:rPr>
                          </w:sdtEndPr>
                          <w:sdtContent>
                            <w:p>
                              <w:pPr>
                                <w:pStyle w:val="7"/>
                                <w:jc w:val="center"/>
                                <w:rPr>
                                  <w:rFonts w:ascii="Times New Roman" w:hAnsi="Times New Roman"/>
                                  <w:sz w:val="28"/>
                                  <w:szCs w:val="44"/>
                                </w:rPr>
                              </w:pPr>
                              <w:r>
                                <w:rPr>
                                  <w:rFonts w:ascii="Times New Roman" w:hAnsi="Times New Roman"/>
                                  <w:sz w:val="28"/>
                                  <w:szCs w:val="44"/>
                                </w:rPr>
                                <w:fldChar w:fldCharType="begin"/>
                              </w:r>
                              <w:r>
                                <w:rPr>
                                  <w:rFonts w:ascii="Times New Roman" w:hAnsi="Times New Roman"/>
                                  <w:sz w:val="28"/>
                                  <w:szCs w:val="44"/>
                                </w:rPr>
                                <w:instrText xml:space="preserve">PAGE   \* MERGEFORMAT</w:instrText>
                              </w:r>
                              <w:r>
                                <w:rPr>
                                  <w:rFonts w:ascii="Times New Roman" w:hAnsi="Times New Roman"/>
                                  <w:sz w:val="28"/>
                                  <w:szCs w:val="44"/>
                                </w:rPr>
                                <w:fldChar w:fldCharType="separate"/>
                              </w:r>
                              <w:r>
                                <w:rPr>
                                  <w:rFonts w:ascii="Times New Roman" w:hAnsi="Times New Roman"/>
                                  <w:sz w:val="28"/>
                                  <w:szCs w:val="44"/>
                                  <w:lang w:val="zh-CN"/>
                                </w:rPr>
                                <w:t>2</w:t>
                              </w:r>
                              <w:r>
                                <w:rPr>
                                  <w:rFonts w:ascii="Times New Roman" w:hAnsi="Times New Roman"/>
                                  <w:sz w:val="28"/>
                                  <w:szCs w:val="44"/>
                                </w:rPr>
                                <w:fldChar w:fldCharType="end"/>
                              </w:r>
                            </w:p>
                          </w:sdtContent>
                        </w:sdt>
                        <w:p>
                          <w:pPr>
                            <w:rPr>
                              <w:rFonts w:ascii="Times New Roman" w:hAnsi="Times New Roman"/>
                              <w:sz w:val="28"/>
                              <w:szCs w:val="44"/>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375594349"/>
                      <w:docPartObj>
                        <w:docPartGallery w:val="autotext"/>
                      </w:docPartObj>
                    </w:sdtPr>
                    <w:sdtEndPr>
                      <w:rPr>
                        <w:rFonts w:ascii="Times New Roman" w:hAnsi="Times New Roman"/>
                        <w:sz w:val="28"/>
                        <w:szCs w:val="44"/>
                      </w:rPr>
                    </w:sdtEndPr>
                    <w:sdtContent>
                      <w:p>
                        <w:pPr>
                          <w:pStyle w:val="7"/>
                          <w:jc w:val="center"/>
                          <w:rPr>
                            <w:rFonts w:ascii="Times New Roman" w:hAnsi="Times New Roman"/>
                            <w:sz w:val="28"/>
                            <w:szCs w:val="44"/>
                          </w:rPr>
                        </w:pPr>
                        <w:r>
                          <w:rPr>
                            <w:rFonts w:ascii="Times New Roman" w:hAnsi="Times New Roman"/>
                            <w:sz w:val="28"/>
                            <w:szCs w:val="44"/>
                          </w:rPr>
                          <w:fldChar w:fldCharType="begin"/>
                        </w:r>
                        <w:r>
                          <w:rPr>
                            <w:rFonts w:ascii="Times New Roman" w:hAnsi="Times New Roman"/>
                            <w:sz w:val="28"/>
                            <w:szCs w:val="44"/>
                          </w:rPr>
                          <w:instrText xml:space="preserve">PAGE   \* MERGEFORMAT</w:instrText>
                        </w:r>
                        <w:r>
                          <w:rPr>
                            <w:rFonts w:ascii="Times New Roman" w:hAnsi="Times New Roman"/>
                            <w:sz w:val="28"/>
                            <w:szCs w:val="44"/>
                          </w:rPr>
                          <w:fldChar w:fldCharType="separate"/>
                        </w:r>
                        <w:r>
                          <w:rPr>
                            <w:rFonts w:ascii="Times New Roman" w:hAnsi="Times New Roman"/>
                            <w:sz w:val="28"/>
                            <w:szCs w:val="44"/>
                            <w:lang w:val="zh-CN"/>
                          </w:rPr>
                          <w:t>2</w:t>
                        </w:r>
                        <w:r>
                          <w:rPr>
                            <w:rFonts w:ascii="Times New Roman" w:hAnsi="Times New Roman"/>
                            <w:sz w:val="28"/>
                            <w:szCs w:val="44"/>
                          </w:rPr>
                          <w:fldChar w:fldCharType="end"/>
                        </w:r>
                      </w:p>
                    </w:sdtContent>
                  </w:sdt>
                  <w:p>
                    <w:pPr>
                      <w:rPr>
                        <w:rFonts w:ascii="Times New Roman" w:hAnsi="Times New Roman"/>
                        <w:sz w:val="28"/>
                        <w:szCs w:val="44"/>
                      </w:rPr>
                    </w:pP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8"/>
        <w:szCs w:val="4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sz w:val="28"/>
        <w:szCs w:val="48"/>
      </w:rPr>
      <w:t>1</w:t>
    </w:r>
  </w:p>
  <w:p>
    <w:pPr>
      <w:pStyle w:val="7"/>
      <w:rPr>
        <w:sz w:val="16"/>
        <w:szCs w:val="16"/>
        <w:lang w:val="fr-C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35585" cy="466090"/>
              <wp:effectExtent l="4445" t="3810" r="0" b="0"/>
              <wp:wrapNone/>
              <wp:docPr id="1"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235585" cy="466090"/>
                      </a:xfrm>
                      <a:prstGeom prst="rect">
                        <a:avLst/>
                      </a:prstGeom>
                      <a:noFill/>
                      <a:ln>
                        <a:noFill/>
                      </a:ln>
                      <a:effectLst/>
                    </wps:spPr>
                    <wps:txbx>
                      <w:txbxContent>
                        <w:p>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 xml:space="preserve">PAGE</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sz w:val="18"/>
                              <w:szCs w:val="18"/>
                              <w:lang w:val="zh-CN"/>
                            </w:rPr>
                            <w:t xml:space="preserve"> </w:t>
                          </w:r>
                        </w:p>
                        <w:p>
                          <w:pPr>
                            <w:rPr>
                              <w:rFonts w:ascii="微软雅黑" w:hAnsi="微软雅黑" w:eastAsia="微软雅黑" w:cs="微软雅黑"/>
                              <w:sz w:val="24"/>
                            </w:rPr>
                          </w:pPr>
                        </w:p>
                      </w:txbxContent>
                    </wps:txbx>
                    <wps:bodyPr rot="0" vert="horz" wrap="none" lIns="0" tIns="0" rIns="0" bIns="0" anchor="t" anchorCtr="0" upright="1">
                      <a:spAutoFit/>
                    </wps:bodyPr>
                  </wps:wsp>
                </a:graphicData>
              </a:graphic>
            </wp:anchor>
          </w:drawing>
        </mc:Choice>
        <mc:Fallback>
          <w:pict>
            <v:shape id="文本框 1026" o:spid="_x0000_s1026" o:spt="202" type="#_x0000_t202" style="position:absolute;left:0pt;margin-top:0pt;height:36.7pt;width:18.55pt;mso-position-horizontal:center;mso-position-horizontal-relative:margin;mso-wrap-style:none;z-index:251660288;mso-width-relative:page;mso-height-relative:page;" filled="f" stroked="f" coordsize="21600,21600" o:gfxdata="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gALB9EAAAADAQAADwAAAAAAAAABACAAAAAi&#10;AAAAZHJzL2Rvd25yZXYueG1sUEsBAhQAFAAAAAgAh07iQHflgN4RAgAAEwQAAA4AAAAAAAAAAQAg&#10;AAAAIAEAAGRycy9lMm9Eb2MueG1sUEsFBgAAAAAGAAYAWQEAAKMFAAAAAA==&#10;">
              <v:fill on="f" focussize="0,0"/>
              <v:stroke on="f"/>
              <v:imagedata o:title=""/>
              <o:lock v:ext="edit" aspectratio="f"/>
              <v:textbox inset="0mm,0mm,0mm,0mm" style="mso-fit-shape-to-text:t;">
                <w:txbxContent>
                  <w:p>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 xml:space="preserve">PAGE</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sz w:val="18"/>
                        <w:szCs w:val="18"/>
                        <w:lang w:val="zh-CN"/>
                      </w:rPr>
                      <w:t xml:space="preserve"> </w:t>
                    </w:r>
                  </w:p>
                  <w:p>
                    <w:pPr>
                      <w:rPr>
                        <w:rFonts w:ascii="微软雅黑" w:hAnsi="微软雅黑" w:eastAsia="微软雅黑" w:cs="微软雅黑"/>
                        <w:sz w:val="24"/>
                      </w:rPr>
                    </w:pPr>
                  </w:p>
                </w:txbxContent>
              </v:textbox>
            </v:shape>
          </w:pict>
        </mc:Fallback>
      </mc:AlternateContent>
    </w:r>
  </w:p>
  <w:p>
    <w:pPr>
      <w:tabs>
        <w:tab w:val="center" w:pos="4153"/>
        <w:tab w:val="right" w:pos="8306"/>
      </w:tabs>
      <w:snapToGrid w:val="0"/>
      <w:jc w:val="left"/>
      <w:rPr>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77F53E"/>
    <w:multiLevelType w:val="singleLevel"/>
    <w:tmpl w:val="2277F53E"/>
    <w:lvl w:ilvl="0" w:tentative="0">
      <w:start w:val="1"/>
      <w:numFmt w:val="bullet"/>
      <w:pStyle w:val="3"/>
      <w:lvlText w:val=""/>
      <w:lvlJc w:val="left"/>
      <w:pPr>
        <w:tabs>
          <w:tab w:val="left" w:pos="360"/>
        </w:tabs>
        <w:ind w:left="36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IwNzg3M2M2NDVhNGYyMGQxZTFmMzNmYjYzYThjZjYifQ=="/>
  </w:docVars>
  <w:rsids>
    <w:rsidRoot w:val="00DC4F3C"/>
    <w:rsid w:val="00013EB0"/>
    <w:rsid w:val="000A58C1"/>
    <w:rsid w:val="000F2B1C"/>
    <w:rsid w:val="0013059A"/>
    <w:rsid w:val="001337C3"/>
    <w:rsid w:val="001E6FF0"/>
    <w:rsid w:val="00255206"/>
    <w:rsid w:val="00255EB6"/>
    <w:rsid w:val="00260363"/>
    <w:rsid w:val="002F1F46"/>
    <w:rsid w:val="003058E9"/>
    <w:rsid w:val="003339CA"/>
    <w:rsid w:val="00341E02"/>
    <w:rsid w:val="003729DD"/>
    <w:rsid w:val="003B09AA"/>
    <w:rsid w:val="003B3831"/>
    <w:rsid w:val="003C3475"/>
    <w:rsid w:val="003F0149"/>
    <w:rsid w:val="00415773"/>
    <w:rsid w:val="00427D20"/>
    <w:rsid w:val="00453050"/>
    <w:rsid w:val="004907F4"/>
    <w:rsid w:val="004A0E5C"/>
    <w:rsid w:val="00500F50"/>
    <w:rsid w:val="005121C1"/>
    <w:rsid w:val="00621934"/>
    <w:rsid w:val="0062798B"/>
    <w:rsid w:val="0067376E"/>
    <w:rsid w:val="00676591"/>
    <w:rsid w:val="0068544E"/>
    <w:rsid w:val="006A088B"/>
    <w:rsid w:val="006A2344"/>
    <w:rsid w:val="006B2910"/>
    <w:rsid w:val="006B3489"/>
    <w:rsid w:val="006E0C89"/>
    <w:rsid w:val="006E436C"/>
    <w:rsid w:val="006E76BD"/>
    <w:rsid w:val="006F0715"/>
    <w:rsid w:val="00776EB0"/>
    <w:rsid w:val="007B7528"/>
    <w:rsid w:val="007C4BFE"/>
    <w:rsid w:val="007D15CC"/>
    <w:rsid w:val="007D3643"/>
    <w:rsid w:val="007E531D"/>
    <w:rsid w:val="00820B0D"/>
    <w:rsid w:val="00826CCE"/>
    <w:rsid w:val="00842731"/>
    <w:rsid w:val="008D088F"/>
    <w:rsid w:val="008D0F84"/>
    <w:rsid w:val="00912C9C"/>
    <w:rsid w:val="00954469"/>
    <w:rsid w:val="00954577"/>
    <w:rsid w:val="009B592D"/>
    <w:rsid w:val="009C6CB5"/>
    <w:rsid w:val="00A4666C"/>
    <w:rsid w:val="00A93E0C"/>
    <w:rsid w:val="00AC2449"/>
    <w:rsid w:val="00AE350C"/>
    <w:rsid w:val="00AF667C"/>
    <w:rsid w:val="00B4118D"/>
    <w:rsid w:val="00B43560"/>
    <w:rsid w:val="00B66521"/>
    <w:rsid w:val="00B73C38"/>
    <w:rsid w:val="00B9744B"/>
    <w:rsid w:val="00BA3942"/>
    <w:rsid w:val="00BD15FF"/>
    <w:rsid w:val="00BE16CD"/>
    <w:rsid w:val="00C2682C"/>
    <w:rsid w:val="00C316C8"/>
    <w:rsid w:val="00C34894"/>
    <w:rsid w:val="00C4430F"/>
    <w:rsid w:val="00C4739E"/>
    <w:rsid w:val="00C71A09"/>
    <w:rsid w:val="00CE0BFA"/>
    <w:rsid w:val="00CE35C5"/>
    <w:rsid w:val="00CE64D2"/>
    <w:rsid w:val="00D256E7"/>
    <w:rsid w:val="00D32C3F"/>
    <w:rsid w:val="00D649D8"/>
    <w:rsid w:val="00D84F0C"/>
    <w:rsid w:val="00DA4398"/>
    <w:rsid w:val="00DB4348"/>
    <w:rsid w:val="00DC4F3C"/>
    <w:rsid w:val="00DE5305"/>
    <w:rsid w:val="00E65407"/>
    <w:rsid w:val="00E657A1"/>
    <w:rsid w:val="00F86F45"/>
    <w:rsid w:val="00FD43FA"/>
    <w:rsid w:val="00FD7164"/>
    <w:rsid w:val="01223935"/>
    <w:rsid w:val="0157386E"/>
    <w:rsid w:val="01715AB9"/>
    <w:rsid w:val="01C73144"/>
    <w:rsid w:val="03215DBB"/>
    <w:rsid w:val="0383720A"/>
    <w:rsid w:val="03F7303D"/>
    <w:rsid w:val="04124462"/>
    <w:rsid w:val="04445A8F"/>
    <w:rsid w:val="04C904B8"/>
    <w:rsid w:val="04E37654"/>
    <w:rsid w:val="053046AA"/>
    <w:rsid w:val="06510766"/>
    <w:rsid w:val="06744454"/>
    <w:rsid w:val="075150B0"/>
    <w:rsid w:val="07C970EA"/>
    <w:rsid w:val="07ED492C"/>
    <w:rsid w:val="092D5E72"/>
    <w:rsid w:val="0AB063A2"/>
    <w:rsid w:val="0AB811CC"/>
    <w:rsid w:val="0B4E38D0"/>
    <w:rsid w:val="0D2070E4"/>
    <w:rsid w:val="0E301610"/>
    <w:rsid w:val="0E7B0A75"/>
    <w:rsid w:val="0E7E40C2"/>
    <w:rsid w:val="0F0D5446"/>
    <w:rsid w:val="0FE60171"/>
    <w:rsid w:val="10111572"/>
    <w:rsid w:val="10A8232F"/>
    <w:rsid w:val="1134315E"/>
    <w:rsid w:val="11B04EDA"/>
    <w:rsid w:val="134E4D39"/>
    <w:rsid w:val="14052826"/>
    <w:rsid w:val="143771ED"/>
    <w:rsid w:val="146319DB"/>
    <w:rsid w:val="14D87EB6"/>
    <w:rsid w:val="15D22E0D"/>
    <w:rsid w:val="15EB1147"/>
    <w:rsid w:val="15EC2411"/>
    <w:rsid w:val="17C651D8"/>
    <w:rsid w:val="18037F78"/>
    <w:rsid w:val="18162409"/>
    <w:rsid w:val="18813EDD"/>
    <w:rsid w:val="18B17A08"/>
    <w:rsid w:val="18D01F80"/>
    <w:rsid w:val="19121BF9"/>
    <w:rsid w:val="192341E3"/>
    <w:rsid w:val="19397563"/>
    <w:rsid w:val="194618AB"/>
    <w:rsid w:val="19632DB3"/>
    <w:rsid w:val="19846B6B"/>
    <w:rsid w:val="1C27324C"/>
    <w:rsid w:val="1D94040F"/>
    <w:rsid w:val="1DE90352"/>
    <w:rsid w:val="1E8D4958"/>
    <w:rsid w:val="200417BC"/>
    <w:rsid w:val="20665761"/>
    <w:rsid w:val="20F462BD"/>
    <w:rsid w:val="216E0D07"/>
    <w:rsid w:val="22082A45"/>
    <w:rsid w:val="22295E3B"/>
    <w:rsid w:val="22FF492B"/>
    <w:rsid w:val="23323AE3"/>
    <w:rsid w:val="23D607AF"/>
    <w:rsid w:val="241B6F25"/>
    <w:rsid w:val="245B69F3"/>
    <w:rsid w:val="24872257"/>
    <w:rsid w:val="24AE7DF4"/>
    <w:rsid w:val="24BC36D7"/>
    <w:rsid w:val="26655E3B"/>
    <w:rsid w:val="271B7D24"/>
    <w:rsid w:val="28B135BA"/>
    <w:rsid w:val="290D5ED8"/>
    <w:rsid w:val="295D53A7"/>
    <w:rsid w:val="29C46CFF"/>
    <w:rsid w:val="2A147807"/>
    <w:rsid w:val="2AAE6F6F"/>
    <w:rsid w:val="2AD1644D"/>
    <w:rsid w:val="2B9724F3"/>
    <w:rsid w:val="2CBC42DB"/>
    <w:rsid w:val="2CE57875"/>
    <w:rsid w:val="2D241B95"/>
    <w:rsid w:val="2DEA4ADC"/>
    <w:rsid w:val="2E8351BC"/>
    <w:rsid w:val="2EA95C89"/>
    <w:rsid w:val="2EF979B7"/>
    <w:rsid w:val="31ED7E88"/>
    <w:rsid w:val="31EF3574"/>
    <w:rsid w:val="32D8384A"/>
    <w:rsid w:val="335A2AA0"/>
    <w:rsid w:val="34350868"/>
    <w:rsid w:val="35170C48"/>
    <w:rsid w:val="353B0EC3"/>
    <w:rsid w:val="3558309C"/>
    <w:rsid w:val="359F479A"/>
    <w:rsid w:val="35F52ED7"/>
    <w:rsid w:val="3879343A"/>
    <w:rsid w:val="388F4F9A"/>
    <w:rsid w:val="38FB0FE8"/>
    <w:rsid w:val="3A163814"/>
    <w:rsid w:val="3A4E2C3F"/>
    <w:rsid w:val="3C226835"/>
    <w:rsid w:val="3F2E3E7F"/>
    <w:rsid w:val="3FDB5A59"/>
    <w:rsid w:val="409938BD"/>
    <w:rsid w:val="40D14C74"/>
    <w:rsid w:val="419D24D5"/>
    <w:rsid w:val="41D872C4"/>
    <w:rsid w:val="423C7070"/>
    <w:rsid w:val="4304690F"/>
    <w:rsid w:val="43197149"/>
    <w:rsid w:val="43C94949"/>
    <w:rsid w:val="442742D8"/>
    <w:rsid w:val="45F46220"/>
    <w:rsid w:val="4683036F"/>
    <w:rsid w:val="47AC3472"/>
    <w:rsid w:val="47F02E52"/>
    <w:rsid w:val="48786162"/>
    <w:rsid w:val="494E3A04"/>
    <w:rsid w:val="49975BCE"/>
    <w:rsid w:val="4A1E68DB"/>
    <w:rsid w:val="4AC73EC1"/>
    <w:rsid w:val="4B6562F8"/>
    <w:rsid w:val="4B815B20"/>
    <w:rsid w:val="4C303F46"/>
    <w:rsid w:val="4CB60B91"/>
    <w:rsid w:val="4D4F0EAF"/>
    <w:rsid w:val="4D4F574C"/>
    <w:rsid w:val="4E6D186A"/>
    <w:rsid w:val="4E9051F3"/>
    <w:rsid w:val="4EC8236A"/>
    <w:rsid w:val="50665BE5"/>
    <w:rsid w:val="5097780F"/>
    <w:rsid w:val="511B6599"/>
    <w:rsid w:val="51384548"/>
    <w:rsid w:val="518C7353"/>
    <w:rsid w:val="52CF094C"/>
    <w:rsid w:val="531159FF"/>
    <w:rsid w:val="54352A41"/>
    <w:rsid w:val="54432833"/>
    <w:rsid w:val="55B36272"/>
    <w:rsid w:val="55D43B94"/>
    <w:rsid w:val="566413BC"/>
    <w:rsid w:val="56BB4C04"/>
    <w:rsid w:val="56BE0ACC"/>
    <w:rsid w:val="56F2441E"/>
    <w:rsid w:val="5701052C"/>
    <w:rsid w:val="57574A7D"/>
    <w:rsid w:val="577D3A3B"/>
    <w:rsid w:val="5909450B"/>
    <w:rsid w:val="59393CA9"/>
    <w:rsid w:val="59440021"/>
    <w:rsid w:val="59C7326B"/>
    <w:rsid w:val="59CB2213"/>
    <w:rsid w:val="5AAC3620"/>
    <w:rsid w:val="5AC858FE"/>
    <w:rsid w:val="5BD463A5"/>
    <w:rsid w:val="5BD60666"/>
    <w:rsid w:val="5C221AFD"/>
    <w:rsid w:val="5D061E08"/>
    <w:rsid w:val="5D890E11"/>
    <w:rsid w:val="5DBC6A5D"/>
    <w:rsid w:val="5E021693"/>
    <w:rsid w:val="5FF80BEE"/>
    <w:rsid w:val="6058095A"/>
    <w:rsid w:val="6066619A"/>
    <w:rsid w:val="607B4E03"/>
    <w:rsid w:val="626F6586"/>
    <w:rsid w:val="642C71BC"/>
    <w:rsid w:val="64CA3934"/>
    <w:rsid w:val="65E10813"/>
    <w:rsid w:val="663D52B4"/>
    <w:rsid w:val="66820D2D"/>
    <w:rsid w:val="67095B39"/>
    <w:rsid w:val="6758429C"/>
    <w:rsid w:val="676236F6"/>
    <w:rsid w:val="67F65354"/>
    <w:rsid w:val="67FA4913"/>
    <w:rsid w:val="688738E9"/>
    <w:rsid w:val="68CF4AB0"/>
    <w:rsid w:val="69A42991"/>
    <w:rsid w:val="69CB51A1"/>
    <w:rsid w:val="6A1724D2"/>
    <w:rsid w:val="6AD217EB"/>
    <w:rsid w:val="6BBC0D74"/>
    <w:rsid w:val="6BEF4116"/>
    <w:rsid w:val="6BFD7F07"/>
    <w:rsid w:val="6C147FB2"/>
    <w:rsid w:val="6C3A254B"/>
    <w:rsid w:val="6C64198B"/>
    <w:rsid w:val="6D286848"/>
    <w:rsid w:val="6DE87DC1"/>
    <w:rsid w:val="6E5970A0"/>
    <w:rsid w:val="6E6D3918"/>
    <w:rsid w:val="6E9F51FF"/>
    <w:rsid w:val="6F975238"/>
    <w:rsid w:val="6FC54176"/>
    <w:rsid w:val="708A51DE"/>
    <w:rsid w:val="719533EC"/>
    <w:rsid w:val="71F17656"/>
    <w:rsid w:val="722E49AC"/>
    <w:rsid w:val="740F1BA4"/>
    <w:rsid w:val="749470CF"/>
    <w:rsid w:val="76637A2B"/>
    <w:rsid w:val="76DC186C"/>
    <w:rsid w:val="77124799"/>
    <w:rsid w:val="78C6102E"/>
    <w:rsid w:val="78FC78B1"/>
    <w:rsid w:val="7A5C15F7"/>
    <w:rsid w:val="7A614AAA"/>
    <w:rsid w:val="7A9606A4"/>
    <w:rsid w:val="7AFE508C"/>
    <w:rsid w:val="7C223584"/>
    <w:rsid w:val="7CAA0B47"/>
    <w:rsid w:val="7D1B2825"/>
    <w:rsid w:val="7D9341B1"/>
    <w:rsid w:val="7E232BFD"/>
    <w:rsid w:val="7FB90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unhideWhenUsed/>
    <w:qFormat/>
    <w:uiPriority w:val="99"/>
    <w:pPr>
      <w:ind w:left="420" w:leftChars="200"/>
    </w:pPr>
    <w:rPr>
      <w:szCs w:val="20"/>
    </w:rPr>
  </w:style>
  <w:style w:type="paragraph" w:styleId="3">
    <w:name w:val="List Bullet"/>
    <w:basedOn w:val="1"/>
    <w:qFormat/>
    <w:uiPriority w:val="0"/>
    <w:pPr>
      <w:numPr>
        <w:ilvl w:val="0"/>
        <w:numId w:val="1"/>
      </w:numPr>
    </w:pPr>
  </w:style>
  <w:style w:type="paragraph" w:styleId="4">
    <w:name w:val="annotation text"/>
    <w:basedOn w:val="1"/>
    <w:unhideWhenUsed/>
    <w:qFormat/>
    <w:uiPriority w:val="99"/>
    <w:pPr>
      <w:jc w:val="left"/>
    </w:pPr>
  </w:style>
  <w:style w:type="paragraph" w:styleId="5">
    <w:name w:val="Body Text"/>
    <w:basedOn w:val="1"/>
    <w:qFormat/>
    <w:uiPriority w:val="1"/>
    <w:rPr>
      <w:sz w:val="28"/>
      <w:szCs w:val="28"/>
    </w:rPr>
  </w:style>
  <w:style w:type="paragraph" w:styleId="6">
    <w:name w:val="Body Text Indent"/>
    <w:basedOn w:val="1"/>
    <w:unhideWhenUsed/>
    <w:qFormat/>
    <w:uiPriority w:val="99"/>
    <w:pPr>
      <w:spacing w:after="120"/>
      <w:ind w:left="420" w:leftChars="200"/>
    </w:pPr>
  </w:style>
  <w:style w:type="paragraph" w:styleId="7">
    <w:name w:val="footer"/>
    <w:basedOn w:val="1"/>
    <w:link w:val="17"/>
    <w:qFormat/>
    <w:uiPriority w:val="99"/>
    <w:pPr>
      <w:tabs>
        <w:tab w:val="center" w:pos="4153"/>
        <w:tab w:val="right" w:pos="8306"/>
      </w:tabs>
      <w:snapToGrid w:val="0"/>
      <w:jc w:val="left"/>
    </w:pPr>
    <w:rPr>
      <w:sz w:val="18"/>
    </w:rPr>
  </w:style>
  <w:style w:type="paragraph" w:styleId="8">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6"/>
    <w:unhideWhenUsed/>
    <w:qFormat/>
    <w:uiPriority w:val="99"/>
    <w:pPr>
      <w:ind w:firstLine="420" w:firstLineChars="200"/>
    </w:pPr>
  </w:style>
  <w:style w:type="table" w:styleId="11">
    <w:name w:val="Table Gri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3">
    <w:name w:val="annotation reference"/>
    <w:unhideWhenUsed/>
    <w:qFormat/>
    <w:uiPriority w:val="99"/>
    <w:rPr>
      <w:sz w:val="21"/>
      <w:szCs w:val="21"/>
    </w:rPr>
  </w:style>
  <w:style w:type="character" w:customStyle="1" w:styleId="14">
    <w:name w:val="页眉 字符"/>
    <w:link w:val="8"/>
    <w:qFormat/>
    <w:uiPriority w:val="0"/>
    <w:rPr>
      <w:rFonts w:ascii="Calibri" w:hAnsi="Calibri"/>
      <w:kern w:val="2"/>
      <w:sz w:val="18"/>
      <w:szCs w:val="18"/>
    </w:rPr>
  </w:style>
  <w:style w:type="paragraph" w:styleId="15">
    <w:name w:val="List Paragraph"/>
    <w:basedOn w:val="1"/>
    <w:qFormat/>
    <w:uiPriority w:val="34"/>
    <w:pPr>
      <w:ind w:firstLine="420" w:firstLineChars="200"/>
    </w:pPr>
  </w:style>
  <w:style w:type="paragraph" w:customStyle="1" w:styleId="16">
    <w:name w:val="列表段落1"/>
    <w:basedOn w:val="1"/>
    <w:qFormat/>
    <w:uiPriority w:val="34"/>
    <w:pPr>
      <w:widowControl/>
      <w:spacing w:after="80" w:line="259" w:lineRule="auto"/>
      <w:ind w:left="720"/>
      <w:contextualSpacing/>
    </w:pPr>
    <w:rPr>
      <w:rFonts w:ascii="Arial" w:hAnsi="Arial"/>
      <w:sz w:val="20"/>
      <w:lang w:val="en-GB"/>
    </w:rPr>
  </w:style>
  <w:style w:type="character" w:customStyle="1" w:styleId="17">
    <w:name w:val="页脚 字符"/>
    <w:basedOn w:val="12"/>
    <w:link w:val="7"/>
    <w:qFormat/>
    <w:uiPriority w:val="99"/>
    <w:rPr>
      <w:rFonts w:ascii="Calibri" w:hAnsi="Calibr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20414</Words>
  <Characters>22300</Characters>
  <Lines>171</Lines>
  <Paragraphs>48</Paragraphs>
  <TotalTime>0</TotalTime>
  <ScaleCrop>false</ScaleCrop>
  <LinksUpToDate>false</LinksUpToDate>
  <CharactersWithSpaces>22525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2023-04-17T10:15:00Z</dcterms:created>
  <dc:creator>HP</dc:creator>
  <cp:lastModifiedBy>孙静霞</cp:lastModifiedBy>
  <dcterms:modified xsi:type="dcterms:W3CDTF">2023-11-04T02:02:38Z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FADEF684CCE541A6AA9E1C3CFC994C69_13</vt:lpwstr>
  </property>
</Properties>
</file>